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6DB6" w:rsidRDefault="00C81CD0" w:rsidP="000724A0">
      <w:pPr>
        <w:pStyle w:val="TituloPortada"/>
      </w:pPr>
      <w:r w:rsidRPr="005F260D">
        <w:t xml:space="preserve">Estudio </w:t>
      </w:r>
      <w:r w:rsidR="004A793D">
        <w:t xml:space="preserve">hidráulico para el desarrollo urbanístico del proyecto de urbanización del sector SAPU-R-BIDEONDO en el término municipal de </w:t>
      </w:r>
      <w:proofErr w:type="spellStart"/>
      <w:r w:rsidR="004A793D">
        <w:t>Iurreta</w:t>
      </w:r>
      <w:proofErr w:type="spellEnd"/>
    </w:p>
    <w:p w:rsidR="00B16DB6" w:rsidRDefault="00B16DB6">
      <w:pPr>
        <w:overflowPunct/>
        <w:autoSpaceDE/>
        <w:autoSpaceDN/>
        <w:adjustRightInd/>
        <w:spacing w:after="0" w:line="240" w:lineRule="auto"/>
        <w:textAlignment w:val="auto"/>
        <w:rPr>
          <w:rFonts w:ascii="Futura XBlk BT" w:hAnsi="Futura XBlk BT"/>
          <w:sz w:val="52"/>
          <w:szCs w:val="28"/>
        </w:rPr>
      </w:pPr>
      <w:r>
        <w:br w:type="page"/>
      </w:r>
    </w:p>
    <w:p w:rsidR="00B16DB6" w:rsidRPr="00146ED0" w:rsidRDefault="001F053E" w:rsidP="00B16DB6">
      <w:pPr>
        <w:pStyle w:val="Portada"/>
      </w:pPr>
      <w:r w:rsidRPr="00146ED0">
        <w:lastRenderedPageBreak/>
        <w:t>apéndice</w:t>
      </w:r>
      <w:r w:rsidR="00B16DB6" w:rsidRPr="00146ED0">
        <w:t xml:space="preserve"> nº1</w:t>
      </w:r>
    </w:p>
    <w:p w:rsidR="00B16DB6" w:rsidRPr="00146ED0" w:rsidRDefault="00146ED0" w:rsidP="00B16DB6">
      <w:pPr>
        <w:pStyle w:val="TituloPortada"/>
      </w:pPr>
      <w:r w:rsidRPr="00146ED0">
        <w:t>Levantamiento taquimétrico</w:t>
      </w:r>
    </w:p>
    <w:p w:rsidR="00B16DB6" w:rsidRPr="00146ED0" w:rsidRDefault="00B16DB6">
      <w:pPr>
        <w:overflowPunct/>
        <w:autoSpaceDE/>
        <w:autoSpaceDN/>
        <w:adjustRightInd/>
        <w:spacing w:after="0" w:line="240" w:lineRule="auto"/>
        <w:textAlignment w:val="auto"/>
        <w:rPr>
          <w:rFonts w:ascii="Futura XBlk BT" w:hAnsi="Futura XBlk BT"/>
          <w:sz w:val="52"/>
          <w:szCs w:val="28"/>
        </w:rPr>
      </w:pPr>
      <w:r w:rsidRPr="00146ED0">
        <w:br w:type="page"/>
      </w:r>
    </w:p>
    <w:p w:rsidR="00B16DB6" w:rsidRPr="006271B9" w:rsidRDefault="001F053E" w:rsidP="00B16DB6">
      <w:pPr>
        <w:pStyle w:val="Portada"/>
      </w:pPr>
      <w:r w:rsidRPr="006271B9">
        <w:lastRenderedPageBreak/>
        <w:t xml:space="preserve">apéndice </w:t>
      </w:r>
      <w:r w:rsidR="00B16DB6" w:rsidRPr="006271B9">
        <w:t>nº2</w:t>
      </w:r>
    </w:p>
    <w:p w:rsidR="00B16DB6" w:rsidRPr="006271B9" w:rsidRDefault="006271B9" w:rsidP="00B16DB6">
      <w:pPr>
        <w:pStyle w:val="TituloPortada"/>
      </w:pPr>
      <w:r w:rsidRPr="006271B9">
        <w:t>Perfiles longitudinales</w:t>
      </w:r>
    </w:p>
    <w:p w:rsidR="00B16DB6" w:rsidRPr="006271B9" w:rsidRDefault="00B16DB6">
      <w:pPr>
        <w:overflowPunct/>
        <w:autoSpaceDE/>
        <w:autoSpaceDN/>
        <w:adjustRightInd/>
        <w:spacing w:after="0" w:line="240" w:lineRule="auto"/>
        <w:textAlignment w:val="auto"/>
        <w:rPr>
          <w:rFonts w:ascii="Futura XBlk BT" w:hAnsi="Futura XBlk BT"/>
          <w:sz w:val="52"/>
          <w:szCs w:val="28"/>
        </w:rPr>
      </w:pPr>
      <w:r w:rsidRPr="006271B9">
        <w:br w:type="page"/>
      </w:r>
    </w:p>
    <w:p w:rsidR="00B16DB6" w:rsidRPr="006271B9" w:rsidRDefault="001F053E" w:rsidP="00B16DB6">
      <w:pPr>
        <w:pStyle w:val="Portada"/>
      </w:pPr>
      <w:r w:rsidRPr="006271B9">
        <w:lastRenderedPageBreak/>
        <w:t xml:space="preserve">apéndice </w:t>
      </w:r>
      <w:r w:rsidR="00B16DB6" w:rsidRPr="006271B9">
        <w:t>nº3</w:t>
      </w:r>
    </w:p>
    <w:p w:rsidR="006271B9" w:rsidRPr="006271B9" w:rsidRDefault="006271B9" w:rsidP="006271B9">
      <w:pPr>
        <w:pStyle w:val="TituloPortada"/>
      </w:pPr>
      <w:r w:rsidRPr="006271B9">
        <w:t>Perfiles transversales</w:t>
      </w:r>
    </w:p>
    <w:p w:rsidR="006271B9" w:rsidRPr="006271B9" w:rsidRDefault="006271B9" w:rsidP="006271B9">
      <w:pPr>
        <w:overflowPunct/>
        <w:autoSpaceDE/>
        <w:autoSpaceDN/>
        <w:adjustRightInd/>
        <w:spacing w:after="0" w:line="240" w:lineRule="auto"/>
        <w:textAlignment w:val="auto"/>
        <w:rPr>
          <w:rFonts w:ascii="Futura XBlk BT" w:hAnsi="Futura XBlk BT"/>
          <w:sz w:val="52"/>
          <w:szCs w:val="28"/>
        </w:rPr>
      </w:pPr>
      <w:r w:rsidRPr="006271B9">
        <w:br w:type="page"/>
      </w:r>
    </w:p>
    <w:p w:rsidR="006271B9" w:rsidRPr="006271B9" w:rsidRDefault="006271B9" w:rsidP="006271B9">
      <w:pPr>
        <w:pStyle w:val="Portada"/>
      </w:pPr>
      <w:r w:rsidRPr="006271B9">
        <w:lastRenderedPageBreak/>
        <w:t>apéndice nº</w:t>
      </w:r>
      <w:r w:rsidR="00395227">
        <w:t xml:space="preserve"> 4</w:t>
      </w:r>
    </w:p>
    <w:p w:rsidR="00395227" w:rsidRPr="006271B9" w:rsidRDefault="006271B9" w:rsidP="00395227">
      <w:pPr>
        <w:pStyle w:val="TituloPortada"/>
      </w:pPr>
      <w:r w:rsidRPr="006271B9">
        <w:t>Tablas de resultados</w:t>
      </w:r>
    </w:p>
    <w:p w:rsidR="00395227" w:rsidRPr="006271B9" w:rsidRDefault="00395227" w:rsidP="00395227">
      <w:pPr>
        <w:overflowPunct/>
        <w:autoSpaceDE/>
        <w:autoSpaceDN/>
        <w:adjustRightInd/>
        <w:spacing w:after="0" w:line="240" w:lineRule="auto"/>
        <w:textAlignment w:val="auto"/>
        <w:rPr>
          <w:rFonts w:ascii="Futura XBlk BT" w:hAnsi="Futura XBlk BT"/>
          <w:sz w:val="52"/>
          <w:szCs w:val="28"/>
        </w:rPr>
      </w:pPr>
      <w:r w:rsidRPr="006271B9">
        <w:br w:type="page"/>
      </w:r>
    </w:p>
    <w:p w:rsidR="00395227" w:rsidRPr="006271B9" w:rsidRDefault="00395227" w:rsidP="00395227">
      <w:pPr>
        <w:pStyle w:val="Portada"/>
      </w:pPr>
      <w:r w:rsidRPr="006271B9">
        <w:lastRenderedPageBreak/>
        <w:t>apéndice nº</w:t>
      </w:r>
      <w:r>
        <w:t xml:space="preserve"> 5</w:t>
      </w:r>
    </w:p>
    <w:p w:rsidR="00395227" w:rsidRPr="006271B9" w:rsidRDefault="00395227" w:rsidP="00395227">
      <w:pPr>
        <w:pStyle w:val="TituloPortada"/>
      </w:pPr>
      <w:r>
        <w:t>Planos</w:t>
      </w:r>
    </w:p>
    <w:p w:rsidR="00B16DB6" w:rsidRPr="006271B9" w:rsidRDefault="00B16DB6" w:rsidP="006271B9">
      <w:pPr>
        <w:pStyle w:val="TituloPortada"/>
      </w:pPr>
    </w:p>
    <w:p w:rsidR="000130F4" w:rsidRPr="005F260D" w:rsidRDefault="000130F4" w:rsidP="006271B9">
      <w:pPr>
        <w:overflowPunct/>
        <w:autoSpaceDE/>
        <w:autoSpaceDN/>
        <w:adjustRightInd/>
        <w:spacing w:after="0" w:line="240" w:lineRule="auto"/>
        <w:textAlignment w:val="auto"/>
      </w:pPr>
    </w:p>
    <w:p w:rsidR="00A26010" w:rsidRPr="008E4A6A" w:rsidRDefault="00A26010">
      <w:pPr>
        <w:rPr>
          <w:highlight w:val="yellow"/>
        </w:rPr>
        <w:sectPr w:rsidR="00A26010" w:rsidRPr="008E4A6A" w:rsidSect="008A475D">
          <w:footnotePr>
            <w:numFmt w:val="lowerRoman"/>
          </w:footnotePr>
          <w:endnotePr>
            <w:numFmt w:val="decimal"/>
          </w:endnotePr>
          <w:pgSz w:w="11906" w:h="16838" w:code="9"/>
          <w:pgMar w:top="2920" w:right="1134" w:bottom="2552" w:left="2835" w:header="0" w:footer="0" w:gutter="0"/>
          <w:paperSrc w:first="7" w:other="7"/>
          <w:pgNumType w:fmt="lowerRoman" w:start="1"/>
          <w:cols w:space="0"/>
          <w:docGrid w:linePitch="272"/>
        </w:sectPr>
      </w:pPr>
    </w:p>
    <w:p w:rsidR="00A26010" w:rsidRPr="00183641" w:rsidRDefault="00C839A3" w:rsidP="00C839A3">
      <w:pPr>
        <w:spacing w:after="480"/>
        <w:ind w:right="-1"/>
        <w:rPr>
          <w:rFonts w:ascii="Futura XBlk BT" w:hAnsi="Futura XBlk BT"/>
          <w:sz w:val="32"/>
          <w:szCs w:val="32"/>
        </w:rPr>
      </w:pPr>
      <w:r w:rsidRPr="00183641">
        <w:rPr>
          <w:rFonts w:ascii="Futura XBlk BT" w:hAnsi="Futura XBlk BT"/>
          <w:sz w:val="32"/>
          <w:szCs w:val="32"/>
        </w:rPr>
        <w:lastRenderedPageBreak/>
        <w:t>Índice</w:t>
      </w:r>
    </w:p>
    <w:p w:rsidR="002D689D" w:rsidRDefault="00FF7770">
      <w:pPr>
        <w:pStyle w:val="TDC1"/>
        <w:rPr>
          <w:rFonts w:asciiTheme="minorHAnsi" w:eastAsiaTheme="minorEastAsia" w:hAnsiTheme="minorHAnsi" w:cstheme="minorBidi"/>
          <w:noProof/>
          <w:sz w:val="22"/>
          <w:lang w:val="es-ES"/>
        </w:rPr>
      </w:pPr>
      <w:r w:rsidRPr="00FF7770">
        <w:rPr>
          <w:highlight w:val="yellow"/>
        </w:rPr>
        <w:fldChar w:fldCharType="begin"/>
      </w:r>
      <w:r w:rsidR="00750D32" w:rsidRPr="008E4A6A">
        <w:rPr>
          <w:highlight w:val="yellow"/>
        </w:rPr>
        <w:instrText xml:space="preserve"> TOC \o "1-4" \h \z \u </w:instrText>
      </w:r>
      <w:r w:rsidRPr="00FF7770">
        <w:rPr>
          <w:highlight w:val="yellow"/>
        </w:rPr>
        <w:fldChar w:fldCharType="separate"/>
      </w:r>
      <w:hyperlink w:anchor="_Toc441142596" w:history="1">
        <w:r w:rsidR="002D689D" w:rsidRPr="00AC7C41">
          <w:rPr>
            <w:rStyle w:val="Hipervnculo"/>
            <w:noProof/>
          </w:rPr>
          <w:t>1 Introducción y objetivo</w:t>
        </w:r>
        <w:r w:rsidR="002D689D">
          <w:rPr>
            <w:noProof/>
            <w:webHidden/>
          </w:rPr>
          <w:tab/>
        </w:r>
        <w:r>
          <w:rPr>
            <w:noProof/>
            <w:webHidden/>
          </w:rPr>
          <w:fldChar w:fldCharType="begin"/>
        </w:r>
        <w:r w:rsidR="002D689D">
          <w:rPr>
            <w:noProof/>
            <w:webHidden/>
          </w:rPr>
          <w:instrText xml:space="preserve"> PAGEREF _Toc441142596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1"/>
        <w:rPr>
          <w:rFonts w:asciiTheme="minorHAnsi" w:eastAsiaTheme="minorEastAsia" w:hAnsiTheme="minorHAnsi" w:cstheme="minorBidi"/>
          <w:noProof/>
          <w:sz w:val="22"/>
          <w:lang w:val="es-ES"/>
        </w:rPr>
      </w:pPr>
      <w:hyperlink w:anchor="_Toc441142597" w:history="1">
        <w:r w:rsidR="002D689D" w:rsidRPr="00AC7C41">
          <w:rPr>
            <w:rStyle w:val="Hipervnculo"/>
            <w:noProof/>
          </w:rPr>
          <w:t>2 Respuesta de URA a la solicitud de urbanización</w:t>
        </w:r>
        <w:r w:rsidR="00D810E0">
          <w:rPr>
            <w:rStyle w:val="Hipervnculo"/>
            <w:noProof/>
          </w:rPr>
          <w:br/>
        </w:r>
        <w:r w:rsidR="002D689D" w:rsidRPr="00AC7C41">
          <w:rPr>
            <w:rStyle w:val="Hipervnculo"/>
            <w:noProof/>
          </w:rPr>
          <w:t>del sector SAPU-R-BIDEONDO</w:t>
        </w:r>
        <w:r w:rsidR="002D689D">
          <w:rPr>
            <w:noProof/>
            <w:webHidden/>
          </w:rPr>
          <w:tab/>
        </w:r>
        <w:r>
          <w:rPr>
            <w:noProof/>
            <w:webHidden/>
          </w:rPr>
          <w:fldChar w:fldCharType="begin"/>
        </w:r>
        <w:r w:rsidR="002D689D">
          <w:rPr>
            <w:noProof/>
            <w:webHidden/>
          </w:rPr>
          <w:instrText xml:space="preserve"> PAGEREF _Toc441142597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1"/>
        <w:rPr>
          <w:rFonts w:asciiTheme="minorHAnsi" w:eastAsiaTheme="minorEastAsia" w:hAnsiTheme="minorHAnsi" w:cstheme="minorBidi"/>
          <w:noProof/>
          <w:sz w:val="22"/>
          <w:lang w:val="es-ES"/>
        </w:rPr>
      </w:pPr>
      <w:hyperlink w:anchor="_Toc441142598" w:history="1">
        <w:r w:rsidR="002D689D" w:rsidRPr="00AC7C41">
          <w:rPr>
            <w:rStyle w:val="Hipervnculo"/>
            <w:noProof/>
          </w:rPr>
          <w:t>3 Análisis preliminar de las superficies de inundación existentes y de su afección al SAPU-R-BIDEONDO</w:t>
        </w:r>
        <w:r w:rsidR="002D689D">
          <w:rPr>
            <w:noProof/>
            <w:webHidden/>
          </w:rPr>
          <w:tab/>
        </w:r>
        <w:r>
          <w:rPr>
            <w:noProof/>
            <w:webHidden/>
          </w:rPr>
          <w:fldChar w:fldCharType="begin"/>
        </w:r>
        <w:r w:rsidR="002D689D">
          <w:rPr>
            <w:noProof/>
            <w:webHidden/>
          </w:rPr>
          <w:instrText xml:space="preserve"> PAGEREF _Toc441142598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1"/>
        <w:rPr>
          <w:rFonts w:asciiTheme="minorHAnsi" w:eastAsiaTheme="minorEastAsia" w:hAnsiTheme="minorHAnsi" w:cstheme="minorBidi"/>
          <w:noProof/>
          <w:sz w:val="22"/>
          <w:lang w:val="es-ES"/>
        </w:rPr>
      </w:pPr>
      <w:hyperlink w:anchor="_Toc441142599" w:history="1">
        <w:r w:rsidR="002D689D" w:rsidRPr="00AC7C41">
          <w:rPr>
            <w:rStyle w:val="Hipervnculo"/>
            <w:noProof/>
          </w:rPr>
          <w:t>4 Limitaciones a los usos en la zona de policía inundable en función de la calificación urbanística</w:t>
        </w:r>
        <w:r w:rsidR="00D810E0">
          <w:rPr>
            <w:rStyle w:val="Hipervnculo"/>
            <w:noProof/>
          </w:rPr>
          <w:br/>
        </w:r>
        <w:r w:rsidR="002D689D" w:rsidRPr="00AC7C41">
          <w:rPr>
            <w:rStyle w:val="Hipervnculo"/>
            <w:noProof/>
          </w:rPr>
          <w:t>del suelo</w:t>
        </w:r>
        <w:r w:rsidR="002D689D">
          <w:rPr>
            <w:noProof/>
            <w:webHidden/>
          </w:rPr>
          <w:tab/>
        </w:r>
        <w:r>
          <w:rPr>
            <w:noProof/>
            <w:webHidden/>
          </w:rPr>
          <w:fldChar w:fldCharType="begin"/>
        </w:r>
        <w:r w:rsidR="002D689D">
          <w:rPr>
            <w:noProof/>
            <w:webHidden/>
          </w:rPr>
          <w:instrText xml:space="preserve"> PAGEREF _Toc441142599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1"/>
        <w:rPr>
          <w:rFonts w:asciiTheme="minorHAnsi" w:eastAsiaTheme="minorEastAsia" w:hAnsiTheme="minorHAnsi" w:cstheme="minorBidi"/>
          <w:noProof/>
          <w:sz w:val="22"/>
          <w:lang w:val="es-ES"/>
        </w:rPr>
      </w:pPr>
      <w:hyperlink w:anchor="_Toc441142600" w:history="1">
        <w:r w:rsidR="002D689D" w:rsidRPr="00AC7C41">
          <w:rPr>
            <w:rStyle w:val="Hipervnculo"/>
            <w:noProof/>
          </w:rPr>
          <w:t>5 Estudio hidráulico</w:t>
        </w:r>
        <w:r w:rsidR="002D689D">
          <w:rPr>
            <w:noProof/>
            <w:webHidden/>
          </w:rPr>
          <w:tab/>
        </w:r>
        <w:r>
          <w:rPr>
            <w:noProof/>
            <w:webHidden/>
          </w:rPr>
          <w:fldChar w:fldCharType="begin"/>
        </w:r>
        <w:r w:rsidR="002D689D">
          <w:rPr>
            <w:noProof/>
            <w:webHidden/>
          </w:rPr>
          <w:instrText xml:space="preserve"> PAGEREF _Toc441142600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2"/>
        <w:rPr>
          <w:rFonts w:asciiTheme="minorHAnsi" w:eastAsiaTheme="minorEastAsia" w:hAnsiTheme="minorHAnsi" w:cstheme="minorBidi"/>
          <w:noProof/>
          <w:sz w:val="22"/>
          <w:szCs w:val="22"/>
          <w:lang w:val="es-ES"/>
        </w:rPr>
      </w:pPr>
      <w:hyperlink w:anchor="_Toc441142601" w:history="1">
        <w:r w:rsidR="002D689D" w:rsidRPr="00AC7C41">
          <w:rPr>
            <w:rStyle w:val="Hipervnculo"/>
            <w:noProof/>
          </w:rPr>
          <w:t>5.1 Revisión del modelo hidráulico del río Ibaizábal aportado por la</w:t>
        </w:r>
        <w:r w:rsidR="00D810E0">
          <w:rPr>
            <w:rStyle w:val="Hipervnculo"/>
            <w:noProof/>
          </w:rPr>
          <w:br/>
        </w:r>
        <w:r w:rsidR="002D689D" w:rsidRPr="00AC7C41">
          <w:rPr>
            <w:rStyle w:val="Hipervnculo"/>
            <w:noProof/>
          </w:rPr>
          <w:t>Agencia Vasca del Agua</w:t>
        </w:r>
        <w:r w:rsidR="002D689D">
          <w:rPr>
            <w:noProof/>
            <w:webHidden/>
          </w:rPr>
          <w:tab/>
        </w:r>
        <w:r>
          <w:rPr>
            <w:noProof/>
            <w:webHidden/>
          </w:rPr>
          <w:fldChar w:fldCharType="begin"/>
        </w:r>
        <w:r w:rsidR="002D689D">
          <w:rPr>
            <w:noProof/>
            <w:webHidden/>
          </w:rPr>
          <w:instrText xml:space="preserve"> PAGEREF _Toc441142601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3"/>
        <w:rPr>
          <w:rFonts w:asciiTheme="minorHAnsi" w:eastAsiaTheme="minorEastAsia" w:hAnsiTheme="minorHAnsi" w:cstheme="minorBidi"/>
          <w:noProof/>
          <w:sz w:val="22"/>
          <w:szCs w:val="22"/>
          <w:lang w:val="es-ES"/>
        </w:rPr>
      </w:pPr>
      <w:hyperlink w:anchor="_Toc441142602" w:history="1">
        <w:r w:rsidR="002D689D" w:rsidRPr="00AC7C41">
          <w:rPr>
            <w:rStyle w:val="Hipervnculo"/>
            <w:noProof/>
          </w:rPr>
          <w:t>5.1.1 Caudales</w:t>
        </w:r>
        <w:r w:rsidR="002D689D">
          <w:rPr>
            <w:noProof/>
            <w:webHidden/>
          </w:rPr>
          <w:tab/>
        </w:r>
        <w:r>
          <w:rPr>
            <w:noProof/>
            <w:webHidden/>
          </w:rPr>
          <w:fldChar w:fldCharType="begin"/>
        </w:r>
        <w:r w:rsidR="002D689D">
          <w:rPr>
            <w:noProof/>
            <w:webHidden/>
          </w:rPr>
          <w:instrText xml:space="preserve"> PAGEREF _Toc441142602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3"/>
        <w:rPr>
          <w:rFonts w:asciiTheme="minorHAnsi" w:eastAsiaTheme="minorEastAsia" w:hAnsiTheme="minorHAnsi" w:cstheme="minorBidi"/>
          <w:noProof/>
          <w:sz w:val="22"/>
          <w:szCs w:val="22"/>
          <w:lang w:val="es-ES"/>
        </w:rPr>
      </w:pPr>
      <w:hyperlink w:anchor="_Toc441142603" w:history="1">
        <w:r w:rsidR="002D689D" w:rsidRPr="00AC7C41">
          <w:rPr>
            <w:rStyle w:val="Hipervnculo"/>
            <w:noProof/>
          </w:rPr>
          <w:t>5.1.2 Análisis de la afección de la avenida de 100 años de periodo de retorno al</w:t>
        </w:r>
        <w:r w:rsidR="00D810E0">
          <w:rPr>
            <w:rStyle w:val="Hipervnculo"/>
            <w:noProof/>
          </w:rPr>
          <w:br/>
        </w:r>
        <w:r w:rsidR="002D689D" w:rsidRPr="00AC7C41">
          <w:rPr>
            <w:rStyle w:val="Hipervnculo"/>
            <w:noProof/>
          </w:rPr>
          <w:t>SAPU-R-BIDEONDO</w:t>
        </w:r>
        <w:r w:rsidR="002D689D">
          <w:rPr>
            <w:noProof/>
            <w:webHidden/>
          </w:rPr>
          <w:tab/>
        </w:r>
        <w:r>
          <w:rPr>
            <w:noProof/>
            <w:webHidden/>
          </w:rPr>
          <w:fldChar w:fldCharType="begin"/>
        </w:r>
        <w:r w:rsidR="002D689D">
          <w:rPr>
            <w:noProof/>
            <w:webHidden/>
          </w:rPr>
          <w:instrText xml:space="preserve"> PAGEREF _Toc441142603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3"/>
        <w:rPr>
          <w:rFonts w:asciiTheme="minorHAnsi" w:eastAsiaTheme="minorEastAsia" w:hAnsiTheme="minorHAnsi" w:cstheme="minorBidi"/>
          <w:noProof/>
          <w:sz w:val="22"/>
          <w:szCs w:val="22"/>
          <w:lang w:val="es-ES"/>
        </w:rPr>
      </w:pPr>
      <w:hyperlink w:anchor="_Toc441142604" w:history="1">
        <w:r w:rsidR="002D689D" w:rsidRPr="00AC7C41">
          <w:rPr>
            <w:rStyle w:val="Hipervnculo"/>
            <w:noProof/>
          </w:rPr>
          <w:t>5.1.3 Obtención de la Vía de Intenso Desagüe</w:t>
        </w:r>
        <w:r w:rsidR="002D689D">
          <w:rPr>
            <w:noProof/>
            <w:webHidden/>
          </w:rPr>
          <w:tab/>
        </w:r>
        <w:r>
          <w:rPr>
            <w:noProof/>
            <w:webHidden/>
          </w:rPr>
          <w:fldChar w:fldCharType="begin"/>
        </w:r>
        <w:r w:rsidR="002D689D">
          <w:rPr>
            <w:noProof/>
            <w:webHidden/>
          </w:rPr>
          <w:instrText xml:space="preserve"> PAGEREF _Toc441142604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3"/>
        <w:rPr>
          <w:rFonts w:asciiTheme="minorHAnsi" w:eastAsiaTheme="minorEastAsia" w:hAnsiTheme="minorHAnsi" w:cstheme="minorBidi"/>
          <w:noProof/>
          <w:sz w:val="22"/>
          <w:szCs w:val="22"/>
          <w:lang w:val="es-ES"/>
        </w:rPr>
      </w:pPr>
      <w:hyperlink w:anchor="_Toc441142605" w:history="1">
        <w:r w:rsidR="002D689D" w:rsidRPr="00AC7C41">
          <w:rPr>
            <w:rStyle w:val="Hipervnculo"/>
            <w:noProof/>
          </w:rPr>
          <w:t>5.1.4 Topografía de detalle de la parcela</w:t>
        </w:r>
        <w:r w:rsidR="002D689D">
          <w:rPr>
            <w:noProof/>
            <w:webHidden/>
          </w:rPr>
          <w:tab/>
        </w:r>
        <w:r>
          <w:rPr>
            <w:noProof/>
            <w:webHidden/>
          </w:rPr>
          <w:fldChar w:fldCharType="begin"/>
        </w:r>
        <w:r w:rsidR="002D689D">
          <w:rPr>
            <w:noProof/>
            <w:webHidden/>
          </w:rPr>
          <w:instrText xml:space="preserve"> PAGEREF _Toc441142605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3"/>
        <w:rPr>
          <w:rFonts w:asciiTheme="minorHAnsi" w:eastAsiaTheme="minorEastAsia" w:hAnsiTheme="minorHAnsi" w:cstheme="minorBidi"/>
          <w:noProof/>
          <w:sz w:val="22"/>
          <w:szCs w:val="22"/>
          <w:lang w:val="es-ES"/>
        </w:rPr>
      </w:pPr>
      <w:hyperlink w:anchor="_Toc441142606" w:history="1">
        <w:r w:rsidR="002D689D" w:rsidRPr="00AC7C41">
          <w:rPr>
            <w:rStyle w:val="Hipervnculo"/>
            <w:noProof/>
          </w:rPr>
          <w:t xml:space="preserve">5.1.5 Conversación telefónica con los técnicos de la oficina central de la Agencia </w:t>
        </w:r>
        <w:r w:rsidR="00D810E0">
          <w:rPr>
            <w:rStyle w:val="Hipervnculo"/>
            <w:noProof/>
          </w:rPr>
          <w:br/>
        </w:r>
        <w:r w:rsidR="002D689D" w:rsidRPr="00AC7C41">
          <w:rPr>
            <w:rStyle w:val="Hipervnculo"/>
            <w:noProof/>
          </w:rPr>
          <w:t>Vasca del Agua</w:t>
        </w:r>
        <w:r w:rsidR="002D689D">
          <w:rPr>
            <w:noProof/>
            <w:webHidden/>
          </w:rPr>
          <w:tab/>
        </w:r>
        <w:r>
          <w:rPr>
            <w:noProof/>
            <w:webHidden/>
          </w:rPr>
          <w:fldChar w:fldCharType="begin"/>
        </w:r>
        <w:r w:rsidR="002D689D">
          <w:rPr>
            <w:noProof/>
            <w:webHidden/>
          </w:rPr>
          <w:instrText xml:space="preserve"> PAGEREF _Toc441142606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2"/>
        <w:rPr>
          <w:rFonts w:asciiTheme="minorHAnsi" w:eastAsiaTheme="minorEastAsia" w:hAnsiTheme="minorHAnsi" w:cstheme="minorBidi"/>
          <w:noProof/>
          <w:sz w:val="22"/>
          <w:szCs w:val="22"/>
          <w:lang w:val="es-ES"/>
        </w:rPr>
      </w:pPr>
      <w:hyperlink w:anchor="_Toc441142607" w:history="1">
        <w:r w:rsidR="002D689D" w:rsidRPr="00AC7C41">
          <w:rPr>
            <w:rStyle w:val="Hipervnculo"/>
            <w:noProof/>
          </w:rPr>
          <w:t>5.2 Justificación de la no afección a terceros</w:t>
        </w:r>
        <w:r w:rsidR="002D689D">
          <w:rPr>
            <w:noProof/>
            <w:webHidden/>
          </w:rPr>
          <w:tab/>
        </w:r>
        <w:r>
          <w:rPr>
            <w:noProof/>
            <w:webHidden/>
          </w:rPr>
          <w:fldChar w:fldCharType="begin"/>
        </w:r>
        <w:r w:rsidR="002D689D">
          <w:rPr>
            <w:noProof/>
            <w:webHidden/>
          </w:rPr>
          <w:instrText xml:space="preserve"> PAGEREF _Toc441142607 \h </w:instrText>
        </w:r>
        <w:r>
          <w:rPr>
            <w:noProof/>
            <w:webHidden/>
          </w:rPr>
        </w:r>
        <w:r>
          <w:rPr>
            <w:noProof/>
            <w:webHidden/>
          </w:rPr>
          <w:fldChar w:fldCharType="separate"/>
        </w:r>
        <w:r w:rsidR="00A66FC3">
          <w:rPr>
            <w:noProof/>
            <w:webHidden/>
          </w:rPr>
          <w:t>2</w:t>
        </w:r>
        <w:r>
          <w:rPr>
            <w:noProof/>
            <w:webHidden/>
          </w:rPr>
          <w:fldChar w:fldCharType="end"/>
        </w:r>
      </w:hyperlink>
    </w:p>
    <w:p w:rsidR="002D689D" w:rsidRDefault="00FF7770">
      <w:pPr>
        <w:pStyle w:val="TDC1"/>
        <w:rPr>
          <w:rFonts w:asciiTheme="minorHAnsi" w:eastAsiaTheme="minorEastAsia" w:hAnsiTheme="minorHAnsi" w:cstheme="minorBidi"/>
          <w:noProof/>
          <w:sz w:val="22"/>
          <w:lang w:val="es-ES"/>
        </w:rPr>
      </w:pPr>
      <w:hyperlink w:anchor="_Toc441142608" w:history="1">
        <w:r w:rsidR="002D689D" w:rsidRPr="00AC7C41">
          <w:rPr>
            <w:rStyle w:val="Hipervnculo"/>
            <w:noProof/>
          </w:rPr>
          <w:t>6 Conclusión</w:t>
        </w:r>
        <w:r w:rsidR="002D689D">
          <w:rPr>
            <w:noProof/>
            <w:webHidden/>
          </w:rPr>
          <w:tab/>
        </w:r>
        <w:r>
          <w:rPr>
            <w:noProof/>
            <w:webHidden/>
          </w:rPr>
          <w:fldChar w:fldCharType="begin"/>
        </w:r>
        <w:r w:rsidR="002D689D">
          <w:rPr>
            <w:noProof/>
            <w:webHidden/>
          </w:rPr>
          <w:instrText xml:space="preserve"> PAGEREF _Toc441142608 \h </w:instrText>
        </w:r>
        <w:r>
          <w:rPr>
            <w:noProof/>
            <w:webHidden/>
          </w:rPr>
        </w:r>
        <w:r>
          <w:rPr>
            <w:noProof/>
            <w:webHidden/>
          </w:rPr>
          <w:fldChar w:fldCharType="separate"/>
        </w:r>
        <w:r w:rsidR="00A66FC3">
          <w:rPr>
            <w:noProof/>
            <w:webHidden/>
          </w:rPr>
          <w:t>2</w:t>
        </w:r>
        <w:r>
          <w:rPr>
            <w:noProof/>
            <w:webHidden/>
          </w:rPr>
          <w:fldChar w:fldCharType="end"/>
        </w:r>
      </w:hyperlink>
    </w:p>
    <w:p w:rsidR="00983A86" w:rsidRDefault="00FF7770" w:rsidP="001F053E">
      <w:pPr>
        <w:rPr>
          <w:highlight w:val="yellow"/>
          <w:lang w:val="es-ES_tradnl"/>
        </w:rPr>
      </w:pPr>
      <w:r w:rsidRPr="008E4A6A">
        <w:rPr>
          <w:highlight w:val="yellow"/>
          <w:lang w:val="es-ES_tradnl"/>
        </w:rPr>
        <w:fldChar w:fldCharType="end"/>
      </w:r>
    </w:p>
    <w:p w:rsidR="001F053E" w:rsidRPr="00ED7DC7" w:rsidRDefault="00D810E0" w:rsidP="001F053E">
      <w:pPr>
        <w:rPr>
          <w:noProof/>
        </w:rPr>
      </w:pPr>
      <w:r w:rsidRPr="00146ED0">
        <w:rPr>
          <w:noProof/>
        </w:rPr>
        <w:t xml:space="preserve">APÉNDICE Nº1: </w:t>
      </w:r>
      <w:r w:rsidRPr="00ED7DC7">
        <w:rPr>
          <w:noProof/>
        </w:rPr>
        <w:t>LEVANTAMIENTO TAQUIMÉTRICO</w:t>
      </w:r>
    </w:p>
    <w:p w:rsidR="001F053E" w:rsidRPr="00ED7DC7" w:rsidRDefault="00D810E0" w:rsidP="001F053E">
      <w:pPr>
        <w:rPr>
          <w:noProof/>
        </w:rPr>
      </w:pPr>
      <w:r w:rsidRPr="00ED7DC7">
        <w:rPr>
          <w:noProof/>
        </w:rPr>
        <w:t>APÉNDICE Nº2: PERFILES LONGITUDINALES</w:t>
      </w:r>
    </w:p>
    <w:p w:rsidR="001F053E" w:rsidRPr="00ED7DC7" w:rsidRDefault="00D810E0" w:rsidP="001F053E">
      <w:pPr>
        <w:rPr>
          <w:noProof/>
        </w:rPr>
      </w:pPr>
      <w:r w:rsidRPr="00ED7DC7">
        <w:rPr>
          <w:noProof/>
        </w:rPr>
        <w:t>APÉNDICE Nº3: PERFILES TRANSVERSALES</w:t>
      </w:r>
    </w:p>
    <w:p w:rsidR="001F053E" w:rsidRPr="00ED7DC7" w:rsidRDefault="00D810E0" w:rsidP="001F053E">
      <w:pPr>
        <w:rPr>
          <w:noProof/>
        </w:rPr>
      </w:pPr>
      <w:r w:rsidRPr="00ED7DC7">
        <w:rPr>
          <w:noProof/>
        </w:rPr>
        <w:t>APÉNDICE Nº4: TABLAS DE RESULTADOS</w:t>
      </w:r>
    </w:p>
    <w:p w:rsidR="00ED7DC7" w:rsidRDefault="00D810E0" w:rsidP="001F053E">
      <w:pPr>
        <w:rPr>
          <w:noProof/>
        </w:rPr>
      </w:pPr>
      <w:r w:rsidRPr="00ED7DC7">
        <w:rPr>
          <w:noProof/>
        </w:rPr>
        <w:t>APÉNDICE Nº5: PLANOS</w:t>
      </w:r>
    </w:p>
    <w:p w:rsidR="001F053E" w:rsidRPr="008E4A6A" w:rsidRDefault="001F053E" w:rsidP="00A32EE2">
      <w:pPr>
        <w:rPr>
          <w:highlight w:val="yellow"/>
        </w:rPr>
      </w:pPr>
    </w:p>
    <w:p w:rsidR="00D5303C" w:rsidRPr="008E4A6A" w:rsidRDefault="00D5303C" w:rsidP="00A32EE2">
      <w:pPr>
        <w:rPr>
          <w:highlight w:val="yellow"/>
        </w:rPr>
        <w:sectPr w:rsidR="00D5303C" w:rsidRPr="008E4A6A" w:rsidSect="008A475D">
          <w:headerReference w:type="default" r:id="rId8"/>
          <w:footerReference w:type="default" r:id="rId9"/>
          <w:footnotePr>
            <w:numFmt w:val="lowerRoman"/>
          </w:footnotePr>
          <w:endnotePr>
            <w:numFmt w:val="decimal"/>
          </w:endnotePr>
          <w:pgSz w:w="11906" w:h="16838" w:code="9"/>
          <w:pgMar w:top="1786" w:right="567" w:bottom="2552" w:left="2835" w:header="0" w:footer="0" w:gutter="0"/>
          <w:paperSrc w:first="7" w:other="7"/>
          <w:pgNumType w:fmt="lowerRoman" w:start="1"/>
          <w:cols w:space="0"/>
          <w:docGrid w:linePitch="272"/>
        </w:sectPr>
      </w:pPr>
    </w:p>
    <w:p w:rsidR="00331942" w:rsidRPr="006F22AF" w:rsidRDefault="003514D9" w:rsidP="002A562D">
      <w:pPr>
        <w:pStyle w:val="Ttulo1"/>
      </w:pPr>
      <w:bookmarkStart w:id="1" w:name="_Toc381009463"/>
      <w:bookmarkStart w:id="2" w:name="_Toc383165307"/>
      <w:bookmarkStart w:id="3" w:name="_Toc441142596"/>
      <w:r w:rsidRPr="006F22AF">
        <w:lastRenderedPageBreak/>
        <w:t>Introducción y objetivo</w:t>
      </w:r>
      <w:bookmarkEnd w:id="1"/>
      <w:bookmarkEnd w:id="2"/>
      <w:bookmarkEnd w:id="3"/>
    </w:p>
    <w:p w:rsidR="00836962" w:rsidRDefault="00836962" w:rsidP="00C81CD0">
      <w:r>
        <w:t xml:space="preserve">Con fecha 4 de diciembre de 2008, el ayuntamiento de </w:t>
      </w:r>
      <w:proofErr w:type="spellStart"/>
      <w:r w:rsidR="00735A4E">
        <w:t>Iu</w:t>
      </w:r>
      <w:r>
        <w:t>rreta</w:t>
      </w:r>
      <w:proofErr w:type="spellEnd"/>
      <w:r>
        <w:t xml:space="preserve"> aprobó in</w:t>
      </w:r>
      <w:r w:rsidR="00735A4E">
        <w:t>i</w:t>
      </w:r>
      <w:r w:rsidR="00C1799B">
        <w:t>cialmente el P</w:t>
      </w:r>
      <w:r>
        <w:t>royecto de reparcelación del sector SAPU-</w:t>
      </w:r>
      <w:r w:rsidR="00B326BB">
        <w:t>R-</w:t>
      </w:r>
      <w:r>
        <w:t>BIDEONDO. Posteriormente, con fecha 30 de diciembre de 2008, se aprobó inicialmente el Proyecto de urbanización del sector SAPU</w:t>
      </w:r>
      <w:r w:rsidR="00B326BB">
        <w:t>-</w:t>
      </w:r>
      <w:r>
        <w:t>R-BIDEONDO.</w:t>
      </w:r>
    </w:p>
    <w:p w:rsidR="00836962" w:rsidRDefault="00836962" w:rsidP="00C81CD0">
      <w:r>
        <w:t xml:space="preserve">Los terrenos de este sector se encuentran ocupados por una empresa en funcionamiento, con una actividad de difícil traslado. Esta circunstancia, unida a la complicada situación que </w:t>
      </w:r>
      <w:r w:rsidR="00C1799B">
        <w:t>atraviesan tanto la obra pública</w:t>
      </w:r>
      <w:r>
        <w:t xml:space="preserve"> como el mercado inmobiliario en la actualidad, han hecho que hasta el</w:t>
      </w:r>
      <w:r w:rsidR="000F558D">
        <w:t xml:space="preserve"> 28 de marzo de 2014 no se haya</w:t>
      </w:r>
      <w:r>
        <w:t xml:space="preserve"> remitido</w:t>
      </w:r>
      <w:r w:rsidR="000F558D">
        <w:t xml:space="preserve"> a la Agencia Vasca del Agua</w:t>
      </w:r>
      <w:r>
        <w:t xml:space="preserve"> dicho proyecto de urbanización para su autorización.</w:t>
      </w:r>
    </w:p>
    <w:p w:rsidR="00836962" w:rsidRDefault="00836962" w:rsidP="00C81CD0">
      <w:r>
        <w:t>Con fecha 30 de mayo de 2014, la Agencia Vasca del Agua responde a la solicitud del Ayuntamiento mediante un escrito en el que deniega la posibilidad de urbanización del ámbito de estudio por incumplimiento de</w:t>
      </w:r>
      <w:r w:rsidR="00B326BB">
        <w:t>l artículo 53 del R.D. 400/2013 y en el que se solicita la ejecución de un estudio hidráulico que justifique la actuación.</w:t>
      </w:r>
    </w:p>
    <w:p w:rsidR="00C8429C" w:rsidRDefault="000F558D" w:rsidP="00C81CD0">
      <w:r>
        <w:t xml:space="preserve">En el presente documento se muestra el análisis hidráulico realizado y los resultados obtenidos, con el fin de dar respuesta a los requerimientos de </w:t>
      </w:r>
      <w:proofErr w:type="spellStart"/>
      <w:r>
        <w:t>Ura</w:t>
      </w:r>
      <w:proofErr w:type="spellEnd"/>
      <w:r>
        <w:t xml:space="preserve"> en el escrito anterior.</w:t>
      </w:r>
    </w:p>
    <w:p w:rsidR="00B326BB" w:rsidRDefault="00B326BB" w:rsidP="00C81CD0"/>
    <w:p w:rsidR="006F22AF" w:rsidRDefault="006F22AF" w:rsidP="00C81CD0"/>
    <w:p w:rsidR="00836962" w:rsidRDefault="00836962" w:rsidP="00C81CD0"/>
    <w:p w:rsidR="00836962" w:rsidRDefault="00836962" w:rsidP="00836962">
      <w:pPr>
        <w:pStyle w:val="Ttulo1"/>
      </w:pPr>
      <w:bookmarkStart w:id="4" w:name="_Toc441142597"/>
      <w:r>
        <w:lastRenderedPageBreak/>
        <w:t>Respuesta de URA a la solicitud d</w:t>
      </w:r>
      <w:r w:rsidR="00437C92">
        <w:t>e urbanización del sector SAPU-</w:t>
      </w:r>
      <w:r>
        <w:t>R-BIDEONDO</w:t>
      </w:r>
      <w:bookmarkEnd w:id="4"/>
    </w:p>
    <w:p w:rsidR="00836962" w:rsidRDefault="00836962" w:rsidP="00836962">
      <w:r>
        <w:t>Con fecha 30 de mayo de 2014, la Agencia Vasca del Agua responde a la solicitud del Ayuntamiento mediante un escrito en el que deniega la posibilidad de urbanización del ámbito de estudio por incumplimiento del artículo 53 del R.D. 400/2013.</w:t>
      </w:r>
    </w:p>
    <w:p w:rsidR="00836962" w:rsidRDefault="00836962" w:rsidP="00836962">
      <w:r>
        <w:t xml:space="preserve">En la página siguiente se adjunta el escrito de respuesta de URA al Ayuntamiento de </w:t>
      </w:r>
      <w:proofErr w:type="spellStart"/>
      <w:r w:rsidR="000F558D">
        <w:t>Iurreta</w:t>
      </w:r>
      <w:proofErr w:type="spellEnd"/>
      <w:r>
        <w:t xml:space="preserve"> y en el que se puede</w:t>
      </w:r>
      <w:r w:rsidR="000F558D">
        <w:t>n</w:t>
      </w:r>
      <w:r>
        <w:t xml:space="preserve"> leer</w:t>
      </w:r>
      <w:r w:rsidR="000F558D">
        <w:t>, entre otros puntos,</w:t>
      </w:r>
      <w:r>
        <w:t xml:space="preserve"> lo</w:t>
      </w:r>
      <w:r w:rsidR="000F558D">
        <w:t>s</w:t>
      </w:r>
      <w:r>
        <w:t xml:space="preserve"> siguiente</w:t>
      </w:r>
      <w:r w:rsidR="000F558D">
        <w:t>s</w:t>
      </w:r>
      <w:r>
        <w:t>:</w:t>
      </w:r>
    </w:p>
    <w:p w:rsidR="00836962" w:rsidRDefault="00836962" w:rsidP="00836962"/>
    <w:p w:rsidR="00836962" w:rsidRDefault="00836962" w:rsidP="00836962">
      <w:pPr>
        <w:ind w:left="1060" w:right="851" w:hanging="340"/>
        <w:rPr>
          <w:i/>
        </w:rPr>
      </w:pPr>
      <w:r w:rsidRPr="00836962">
        <w:rPr>
          <w:i/>
        </w:rPr>
        <w:t xml:space="preserve">“a) De acuerdo a los estudios hidráulicos oficiales (disponibles en la página web de este organismo </w:t>
      </w:r>
      <w:hyperlink r:id="rId10" w:history="1">
        <w:r w:rsidRPr="00836962">
          <w:rPr>
            <w:rStyle w:val="Hipervnculo"/>
            <w:i/>
          </w:rPr>
          <w:t>www.uragentzia.net</w:t>
        </w:r>
      </w:hyperlink>
      <w:r w:rsidRPr="00836962">
        <w:rPr>
          <w:i/>
        </w:rPr>
        <w:t>, visor geográfico) los edificios nº</w:t>
      </w:r>
      <w:r w:rsidR="000F558D">
        <w:rPr>
          <w:i/>
        </w:rPr>
        <w:t xml:space="preserve"> </w:t>
      </w:r>
      <w:r w:rsidRPr="00836962">
        <w:rPr>
          <w:i/>
        </w:rPr>
        <w:t>2</w:t>
      </w:r>
      <w:r w:rsidR="000F558D">
        <w:rPr>
          <w:i/>
        </w:rPr>
        <w:t xml:space="preserve"> </w:t>
      </w:r>
      <w:r w:rsidRPr="00836962">
        <w:rPr>
          <w:i/>
        </w:rPr>
        <w:t>B y nº</w:t>
      </w:r>
      <w:r w:rsidR="000F558D">
        <w:rPr>
          <w:i/>
        </w:rPr>
        <w:t xml:space="preserve"> </w:t>
      </w:r>
      <w:r w:rsidRPr="00836962">
        <w:rPr>
          <w:i/>
        </w:rPr>
        <w:t>3 se sitúan parcialmente en zona de flujo preferente re</w:t>
      </w:r>
      <w:r w:rsidR="000F558D">
        <w:rPr>
          <w:i/>
        </w:rPr>
        <w:t xml:space="preserve">cogida </w:t>
      </w:r>
      <w:r w:rsidRPr="00836962">
        <w:rPr>
          <w:i/>
        </w:rPr>
        <w:t xml:space="preserve">en </w:t>
      </w:r>
      <w:r w:rsidR="000F558D">
        <w:rPr>
          <w:i/>
        </w:rPr>
        <w:t xml:space="preserve">el R.D. 400/2013 (BOE 8-06-2014), no siendo autorizables dichas </w:t>
      </w:r>
      <w:r w:rsidRPr="00836962">
        <w:rPr>
          <w:i/>
        </w:rPr>
        <w:t>ocupaciones de acuerdo al art. 53 del mismo. Así mismo, no se realizarán rellenos en la zona inundable con periodo de retorno T100 (art. 54) salvo excepcionalidad justificada</w:t>
      </w:r>
      <w:r>
        <w:rPr>
          <w:i/>
        </w:rPr>
        <w:t>.</w:t>
      </w:r>
      <w:r w:rsidR="00B326BB">
        <w:rPr>
          <w:i/>
        </w:rPr>
        <w:t>”</w:t>
      </w:r>
    </w:p>
    <w:p w:rsidR="00836962" w:rsidRDefault="00B326BB" w:rsidP="00836962">
      <w:pPr>
        <w:ind w:left="1060" w:right="851" w:hanging="340"/>
        <w:rPr>
          <w:i/>
        </w:rPr>
      </w:pPr>
      <w:r>
        <w:rPr>
          <w:i/>
        </w:rPr>
        <w:t>“</w:t>
      </w:r>
      <w:r w:rsidR="00836962">
        <w:rPr>
          <w:i/>
        </w:rPr>
        <w:t>d)</w:t>
      </w:r>
      <w:r>
        <w:rPr>
          <w:i/>
        </w:rPr>
        <w:t xml:space="preserve"> S</w:t>
      </w:r>
      <w:r w:rsidR="00836962">
        <w:rPr>
          <w:i/>
        </w:rPr>
        <w:t>e deberá justificar mediante un estudio hidráulico (anexo 9 del R.D. 400/2013) que los rellenos y ocupaciones realizadas en zona inundable no producen afeccione</w:t>
      </w:r>
      <w:r w:rsidR="00C8429C">
        <w:rPr>
          <w:i/>
        </w:rPr>
        <w:t>s</w:t>
      </w:r>
      <w:r w:rsidR="00836962">
        <w:rPr>
          <w:i/>
        </w:rPr>
        <w:t xml:space="preserve"> a terce</w:t>
      </w:r>
      <w:r w:rsidR="00C8429C">
        <w:rPr>
          <w:i/>
        </w:rPr>
        <w:t>ros</w:t>
      </w:r>
      <w:r w:rsidR="00836962">
        <w:rPr>
          <w:i/>
        </w:rPr>
        <w:t xml:space="preserve"> (sobreelevación</w:t>
      </w:r>
      <w:r w:rsidR="000F558D">
        <w:rPr>
          <w:i/>
        </w:rPr>
        <w:t xml:space="preserve"> de lámina de avenida T500≤10cm.</w:t>
      </w:r>
      <w:r w:rsidR="00836962">
        <w:rPr>
          <w:i/>
        </w:rPr>
        <w:t>”</w:t>
      </w:r>
    </w:p>
    <w:p w:rsidR="00836962" w:rsidRPr="00836962" w:rsidRDefault="007B2CF5" w:rsidP="00D810E0">
      <w:pPr>
        <w:ind w:right="851"/>
        <w:rPr>
          <w:i/>
        </w:rPr>
      </w:pPr>
      <w:r>
        <w:rPr>
          <w:i/>
          <w:noProof/>
        </w:rPr>
        <w:lastRenderedPageBreak/>
        <w:drawing>
          <wp:inline distT="0" distB="0" distL="0" distR="0">
            <wp:extent cx="5271636" cy="7656394"/>
            <wp:effectExtent l="19050" t="0" r="5214" b="0"/>
            <wp:docPr id="10" name="9 Imagen" descr="respuesta 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uesta Ura.jpg"/>
                    <pic:cNvPicPr/>
                  </pic:nvPicPr>
                  <pic:blipFill>
                    <a:blip r:embed="rId11" cstate="print"/>
                    <a:stretch>
                      <a:fillRect/>
                    </a:stretch>
                  </pic:blipFill>
                  <pic:spPr>
                    <a:xfrm>
                      <a:off x="0" y="0"/>
                      <a:ext cx="5273925" cy="7659719"/>
                    </a:xfrm>
                    <a:prstGeom prst="rect">
                      <a:avLst/>
                    </a:prstGeom>
                  </pic:spPr>
                </pic:pic>
              </a:graphicData>
            </a:graphic>
          </wp:inline>
        </w:drawing>
      </w:r>
    </w:p>
    <w:p w:rsidR="00C8429C" w:rsidRDefault="007B2CF5">
      <w:pPr>
        <w:overflowPunct/>
        <w:autoSpaceDE/>
        <w:autoSpaceDN/>
        <w:adjustRightInd/>
        <w:spacing w:after="0" w:line="240" w:lineRule="auto"/>
        <w:textAlignment w:val="auto"/>
      </w:pPr>
      <w:r>
        <w:rPr>
          <w:noProof/>
        </w:rPr>
        <w:lastRenderedPageBreak/>
        <w:drawing>
          <wp:inline distT="0" distB="0" distL="0" distR="0">
            <wp:extent cx="5271636" cy="7656394"/>
            <wp:effectExtent l="19050" t="0" r="5214" b="0"/>
            <wp:docPr id="11" name="10 Imagen" descr="respuesta Ura pa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uesta Ura pag 2.jpg"/>
                    <pic:cNvPicPr/>
                  </pic:nvPicPr>
                  <pic:blipFill>
                    <a:blip r:embed="rId12" cstate="print"/>
                    <a:stretch>
                      <a:fillRect/>
                    </a:stretch>
                  </pic:blipFill>
                  <pic:spPr>
                    <a:xfrm>
                      <a:off x="0" y="0"/>
                      <a:ext cx="5272542" cy="7657710"/>
                    </a:xfrm>
                    <a:prstGeom prst="rect">
                      <a:avLst/>
                    </a:prstGeom>
                  </pic:spPr>
                </pic:pic>
              </a:graphicData>
            </a:graphic>
          </wp:inline>
        </w:drawing>
      </w:r>
    </w:p>
    <w:p w:rsidR="003030FF" w:rsidRDefault="00400E38" w:rsidP="003030FF">
      <w:r>
        <w:lastRenderedPageBreak/>
        <w:t>Cabe señalar que durante la elaboración del present</w:t>
      </w:r>
      <w:r w:rsidR="003030FF">
        <w:t>e documento se publicó el Real D</w:t>
      </w:r>
      <w:r>
        <w:t xml:space="preserve">ecreto 1/2016, de 8 de enero, por el </w:t>
      </w:r>
      <w:r w:rsidR="003030FF">
        <w:t xml:space="preserve">que se aprueba la revisión de los Planes Hidrológicos, entre ellos el Plan Hidrológico de la parte española de la </w:t>
      </w:r>
      <w:r w:rsidR="003030FF" w:rsidRPr="00336541">
        <w:t>Demarcación Hidrográfica del Cantábrico Oriental</w:t>
      </w:r>
      <w:r w:rsidR="003030FF">
        <w:t xml:space="preserve">, quedando derogado a partir del día 20 de enero de 2016, el R.D. 400/2013, de 7 de junio, aludido en la respuesta de </w:t>
      </w:r>
      <w:proofErr w:type="spellStart"/>
      <w:r w:rsidR="003030FF">
        <w:t>Ura</w:t>
      </w:r>
      <w:proofErr w:type="spellEnd"/>
      <w:r w:rsidR="003030FF">
        <w:t>.</w:t>
      </w:r>
    </w:p>
    <w:p w:rsidR="003030FF" w:rsidRPr="00E73E98" w:rsidRDefault="003030FF" w:rsidP="003030FF">
      <w:r>
        <w:t>Por ello, se ha modificado el informe inicialmente redactado según los artículos del antiguo Plan Hidrológico derogado</w:t>
      </w:r>
      <w:r w:rsidRPr="00336541">
        <w:t>,</w:t>
      </w:r>
      <w:r>
        <w:t xml:space="preserve"> adaptándolo a los artículos referidos en la nueva modificación.</w:t>
      </w:r>
    </w:p>
    <w:p w:rsidR="00400E38" w:rsidRDefault="00400E38">
      <w:pPr>
        <w:overflowPunct/>
        <w:autoSpaceDE/>
        <w:autoSpaceDN/>
        <w:adjustRightInd/>
        <w:spacing w:after="0" w:line="240" w:lineRule="auto"/>
        <w:textAlignment w:val="auto"/>
      </w:pPr>
    </w:p>
    <w:p w:rsidR="00565AFA" w:rsidRDefault="00565AFA" w:rsidP="00565AFA">
      <w:pPr>
        <w:pStyle w:val="Ttulo1"/>
      </w:pPr>
      <w:bookmarkStart w:id="5" w:name="_Toc391978522"/>
      <w:bookmarkStart w:id="6" w:name="_Toc441142598"/>
      <w:r>
        <w:lastRenderedPageBreak/>
        <w:t>Análisis preliminar de las superficies de inundación existentes y de su afección al SAPU-R-BIDEONDO</w:t>
      </w:r>
      <w:bookmarkEnd w:id="5"/>
      <w:bookmarkEnd w:id="6"/>
    </w:p>
    <w:p w:rsidR="00D8322D" w:rsidRDefault="00437C92" w:rsidP="00D8322D">
      <w:pPr>
        <w:rPr>
          <w:u w:val="single"/>
        </w:rPr>
      </w:pPr>
      <w:r>
        <w:t>D</w:t>
      </w:r>
      <w:r w:rsidR="00D8322D">
        <w:t>e la Evaluación Preliminar del Riesgo de Inundación (EPRI), cuyo resultado final queda reflejado con la identificación de las Áreas de Riesgo Potencial Significativo de Inundación (</w:t>
      </w:r>
      <w:proofErr w:type="spellStart"/>
      <w:r w:rsidR="00D8322D">
        <w:t>ARPSIs</w:t>
      </w:r>
      <w:proofErr w:type="spellEnd"/>
      <w:r w:rsidR="00D8322D">
        <w:t xml:space="preserve">), </w:t>
      </w:r>
      <w:r>
        <w:t xml:space="preserve"> y que </w:t>
      </w:r>
      <w:r w:rsidR="00D8322D">
        <w:t>se muestra en la imagen siguiente</w:t>
      </w:r>
      <w:r>
        <w:t>,</w:t>
      </w:r>
      <w:r w:rsidR="00D8322D">
        <w:t xml:space="preserve"> se desprende que la parcela sobre la que se pretende ejecutar la nueva urbanización se encuentra </w:t>
      </w:r>
      <w:r w:rsidR="00D8322D" w:rsidRPr="00AD2C0B">
        <w:rPr>
          <w:u w:val="single"/>
        </w:rPr>
        <w:t>dentro de un ARPSI</w:t>
      </w:r>
      <w:r w:rsidR="00D8322D">
        <w:rPr>
          <w:u w:val="single"/>
        </w:rPr>
        <w:t>.</w:t>
      </w:r>
      <w:r w:rsidR="00D8322D" w:rsidRPr="00D8322D">
        <w:t xml:space="preserve"> </w:t>
      </w:r>
      <w:r w:rsidR="00D8322D" w:rsidRPr="0086056C">
        <w:rPr>
          <w:u w:val="single"/>
        </w:rPr>
        <w:t>Concretamente, el ámbito de estudio se encuentra dentro del ARPSI ES018-BIZ-9-1</w:t>
      </w:r>
    </w:p>
    <w:p w:rsidR="0086056C" w:rsidRDefault="0086056C" w:rsidP="00D8322D"/>
    <w:p w:rsidR="00D8322D" w:rsidRDefault="00FF7770" w:rsidP="00D8322D">
      <w:r>
        <w:rPr>
          <w:noProof/>
        </w:rPr>
        <w:pict>
          <v:oval id="_x0000_s1176" style="position:absolute;margin-left:267.65pt;margin-top:122.7pt;width:24.25pt;height:17.6pt;z-index:251691008" strokecolor="red" strokeweight="1.5pt">
            <v:fill opacity="0"/>
          </v:oval>
        </w:pict>
      </w:r>
      <w:r w:rsidR="00D8322D">
        <w:rPr>
          <w:noProof/>
        </w:rPr>
        <w:drawing>
          <wp:inline distT="0" distB="0" distL="0" distR="0">
            <wp:extent cx="5400040" cy="3781199"/>
            <wp:effectExtent l="19050" t="0" r="0"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400040" cy="3781199"/>
                    </a:xfrm>
                    <a:prstGeom prst="rect">
                      <a:avLst/>
                    </a:prstGeom>
                    <a:noFill/>
                    <a:ln w="9525">
                      <a:noFill/>
                      <a:miter lim="800000"/>
                      <a:headEnd/>
                      <a:tailEnd/>
                    </a:ln>
                  </pic:spPr>
                </pic:pic>
              </a:graphicData>
            </a:graphic>
          </wp:inline>
        </w:drawing>
      </w:r>
    </w:p>
    <w:p w:rsidR="00164B98" w:rsidRDefault="00164B98" w:rsidP="00164B98">
      <w:pPr>
        <w:pStyle w:val="Titulodefigura"/>
      </w:pPr>
      <w:r>
        <w:t>Delimitación del ARPSI ES018-BIZ-9-1</w:t>
      </w:r>
    </w:p>
    <w:p w:rsidR="00D8322D" w:rsidRDefault="00D8322D" w:rsidP="00D8322D">
      <w:r>
        <w:t xml:space="preserve">A continuación se muestra la imagen de las superficies de inundación correspondientes a las avenidas de 10, 100 y 500 años de periodo de retorno y la delimitación de la Zona de Flujo Preferente con las que cuenta </w:t>
      </w:r>
      <w:proofErr w:type="spellStart"/>
      <w:r>
        <w:t>Ur</w:t>
      </w:r>
      <w:proofErr w:type="spellEnd"/>
      <w:r w:rsidR="00164B98">
        <w:t xml:space="preserve"> </w:t>
      </w:r>
      <w:proofErr w:type="spellStart"/>
      <w:r w:rsidR="00164B98">
        <w:t>A</w:t>
      </w:r>
      <w:r>
        <w:t>gentzia</w:t>
      </w:r>
      <w:proofErr w:type="spellEnd"/>
      <w:r>
        <w:t xml:space="preserve"> en el sector SAPU-R-BIDEONDO, en la que puede verse que efectivamente parte de la parcela se encuentra afectada por la superficie de inundación de 100 años de periodo de retorno y por la Zona de Flujo Preferente.</w:t>
      </w:r>
    </w:p>
    <w:p w:rsidR="00164B98" w:rsidRDefault="00164B98" w:rsidP="0086056C">
      <w:pPr>
        <w:rPr>
          <w:noProof/>
        </w:rPr>
      </w:pPr>
    </w:p>
    <w:p w:rsidR="00EA24A4" w:rsidRDefault="00FF7770" w:rsidP="0086056C">
      <w:r>
        <w:rPr>
          <w:noProof/>
        </w:rPr>
        <w:lastRenderedPageBreak/>
        <w:pict>
          <v:oval id="_x0000_s1213" style="position:absolute;margin-left:15.75pt;margin-top:173.95pt;width:248.25pt;height:114pt;z-index:251723776" strokecolor="red" strokeweight="1.5pt">
            <v:fill opacity="0"/>
            <v:textbox>
              <w:txbxContent>
                <w:p w:rsidR="00ED7DC7" w:rsidRDefault="00ED7DC7"/>
                <w:p w:rsidR="00ED7DC7" w:rsidRPr="00395227" w:rsidRDefault="00ED7DC7">
                  <w:pPr>
                    <w:rPr>
                      <w:color w:val="FF0000"/>
                      <w:sz w:val="28"/>
                    </w:rPr>
                  </w:pPr>
                  <w:r>
                    <w:rPr>
                      <w:color w:val="FF0000"/>
                      <w:sz w:val="28"/>
                    </w:rPr>
                    <w:t xml:space="preserve">     </w:t>
                  </w:r>
                  <w:r w:rsidRPr="00395227">
                    <w:rPr>
                      <w:color w:val="FF0000"/>
                      <w:sz w:val="28"/>
                    </w:rPr>
                    <w:t>SAPU-R-BIDEONDO</w:t>
                  </w:r>
                </w:p>
                <w:p w:rsidR="00ED7DC7" w:rsidRDefault="00ED7DC7"/>
              </w:txbxContent>
            </v:textbox>
          </v:oval>
        </w:pict>
      </w:r>
      <w:r w:rsidR="00EA24A4" w:rsidRPr="00EA24A4">
        <w:rPr>
          <w:noProof/>
        </w:rPr>
        <w:drawing>
          <wp:inline distT="0" distB="0" distL="0" distR="0">
            <wp:extent cx="3937164" cy="5131985"/>
            <wp:effectExtent l="609600" t="0" r="596736" b="0"/>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rot="16200000">
                      <a:off x="0" y="0"/>
                      <a:ext cx="3937164" cy="5131985"/>
                    </a:xfrm>
                    <a:prstGeom prst="rect">
                      <a:avLst/>
                    </a:prstGeom>
                    <a:noFill/>
                    <a:ln w="9525">
                      <a:noFill/>
                      <a:miter lim="800000"/>
                      <a:headEnd/>
                      <a:tailEnd/>
                    </a:ln>
                  </pic:spPr>
                </pic:pic>
              </a:graphicData>
            </a:graphic>
          </wp:inline>
        </w:drawing>
      </w:r>
    </w:p>
    <w:p w:rsidR="00EA24A4" w:rsidRDefault="00EA24A4" w:rsidP="00EA24A4">
      <w:pPr>
        <w:pStyle w:val="Titulodefigura"/>
      </w:pPr>
      <w:r>
        <w:t>Superficies de inundación en el SAPU_R_BIDEONDO</w:t>
      </w:r>
    </w:p>
    <w:p w:rsidR="0086056C" w:rsidRDefault="00EA24A4" w:rsidP="0086056C">
      <w:pPr>
        <w:rPr>
          <w:noProof/>
        </w:rPr>
      </w:pPr>
      <w:r>
        <w:t>N</w:t>
      </w:r>
      <w:r w:rsidR="0086056C">
        <w:t xml:space="preserve">o obstante, para establecer exactamente qué afección podría suponer la </w:t>
      </w:r>
      <w:proofErr w:type="spellStart"/>
      <w:r w:rsidR="0086056C">
        <w:t>inundabilidad</w:t>
      </w:r>
      <w:proofErr w:type="spellEnd"/>
      <w:r w:rsidR="0086056C">
        <w:t xml:space="preserve"> existente en la urbanización prevista, se han delimitado, en una planta de la urbanización, tanto la Zona de Flujo Preferente (línea de color rojo) como la avenida de 100 años de periodo de retorno (línea de color azul)</w:t>
      </w:r>
      <w:r w:rsidR="00437C92">
        <w:t xml:space="preserve"> recogidas en el visor cartográfico de la Agencia Vasca del Agua</w:t>
      </w:r>
      <w:r w:rsidR="0086056C">
        <w:t>, obteniéndose el resultado que se muestra a continuación:</w:t>
      </w:r>
    </w:p>
    <w:p w:rsidR="00D8322D" w:rsidRPr="009E10F8" w:rsidRDefault="00D8322D" w:rsidP="00D8322D"/>
    <w:p w:rsidR="0086056C" w:rsidRDefault="0086056C" w:rsidP="0086056C">
      <w:r>
        <w:rPr>
          <w:noProof/>
        </w:rPr>
        <w:lastRenderedPageBreak/>
        <w:drawing>
          <wp:inline distT="0" distB="0" distL="0" distR="0">
            <wp:extent cx="5400040" cy="2610408"/>
            <wp:effectExtent l="19050" t="0" r="0" b="0"/>
            <wp:docPr id="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400040" cy="2610408"/>
                    </a:xfrm>
                    <a:prstGeom prst="rect">
                      <a:avLst/>
                    </a:prstGeom>
                    <a:noFill/>
                    <a:ln w="9525">
                      <a:noFill/>
                      <a:miter lim="800000"/>
                      <a:headEnd/>
                      <a:tailEnd/>
                    </a:ln>
                  </pic:spPr>
                </pic:pic>
              </a:graphicData>
            </a:graphic>
          </wp:inline>
        </w:drawing>
      </w:r>
    </w:p>
    <w:p w:rsidR="00C6648A" w:rsidRDefault="00C6648A" w:rsidP="00C6648A">
      <w:pPr>
        <w:pStyle w:val="Titulodefigura"/>
      </w:pPr>
      <w:r>
        <w:t>Líneas de T100 y ZFP en proyecto de urbanización</w:t>
      </w:r>
    </w:p>
    <w:p w:rsidR="0086056C" w:rsidRDefault="0086056C" w:rsidP="0086056C">
      <w:r>
        <w:t xml:space="preserve">Efectivamente, tal y como se recoge en la respuesta de la Agencia Vasca del Agua, parte de las edificaciones correspondientes al SZR2 y SZR3 se encuentran dentro de la </w:t>
      </w:r>
      <w:r w:rsidR="00437C92">
        <w:t xml:space="preserve">referida </w:t>
      </w:r>
      <w:r>
        <w:t xml:space="preserve">Zona de flujo Preferente, estando además todo el SZR3 y gran parte del SZR2 afectados por la superficie de inundación correspondiente a la avenida de </w:t>
      </w:r>
      <w:r w:rsidR="00565AFA">
        <w:t xml:space="preserve">100 años de periodo de retorno, por lo que se lleva a cabo un </w:t>
      </w:r>
      <w:r w:rsidR="00DB1805">
        <w:t xml:space="preserve">análisis de la calificación urbanística de la parcela </w:t>
      </w:r>
      <w:r w:rsidR="00FB20B4">
        <w:t>y de las limitaciones a los usos en la misma así como</w:t>
      </w:r>
      <w:r w:rsidR="00DB1805">
        <w:t xml:space="preserve"> un </w:t>
      </w:r>
      <w:r w:rsidR="00565AFA">
        <w:t xml:space="preserve">estudio hidráulico </w:t>
      </w:r>
      <w:r w:rsidR="00DB1805">
        <w:t xml:space="preserve">de la zona </w:t>
      </w:r>
      <w:r w:rsidR="00565AFA">
        <w:t>en profundidad.</w:t>
      </w:r>
    </w:p>
    <w:p w:rsidR="00DB1805" w:rsidRDefault="006D49BC" w:rsidP="00DB1805">
      <w:pPr>
        <w:pStyle w:val="Ttulo1"/>
      </w:pPr>
      <w:bookmarkStart w:id="7" w:name="_Toc441142599"/>
      <w:r>
        <w:lastRenderedPageBreak/>
        <w:t>Limitaciones a los usos en la zona de policía inundable en función de la c</w:t>
      </w:r>
      <w:r w:rsidR="00DB1805">
        <w:t>alificación urbanística del suelo</w:t>
      </w:r>
      <w:bookmarkEnd w:id="7"/>
    </w:p>
    <w:p w:rsidR="00DB1805" w:rsidRDefault="00FB20B4" w:rsidP="00DB1805">
      <w:r>
        <w:t xml:space="preserve">El Plan Hidrológico de la parte española de la Demarcación Hidrográfica del Cantábrico Oriental de </w:t>
      </w:r>
      <w:r w:rsidR="003030FF">
        <w:t xml:space="preserve">7 de </w:t>
      </w:r>
      <w:r>
        <w:t xml:space="preserve">junio de 2013, establece en su artículo 53 las limitaciones a los usos </w:t>
      </w:r>
      <w:r w:rsidR="00400E38">
        <w:t>en la zona de policía inundable.</w:t>
      </w:r>
      <w:r w:rsidR="003030FF">
        <w:t xml:space="preserve"> Sin embargo, tal y como se ha comentado en el </w:t>
      </w:r>
      <w:r w:rsidR="003030FF" w:rsidRPr="003030FF">
        <w:rPr>
          <w:rFonts w:ascii="Futura Md BT" w:hAnsi="Futura Md BT"/>
        </w:rPr>
        <w:t>apartado 2. Respuesta de URA a la solicitud de urbanización del sector SAPU-R-BIDEONDO</w:t>
      </w:r>
      <w:r w:rsidR="003030FF">
        <w:rPr>
          <w:rFonts w:ascii="Futura Md BT" w:hAnsi="Futura Md BT"/>
        </w:rPr>
        <w:t xml:space="preserve">, </w:t>
      </w:r>
      <w:r w:rsidR="003030FF">
        <w:t xml:space="preserve">del presente documento, dicho Plan Hidrológico ha sido </w:t>
      </w:r>
      <w:proofErr w:type="gramStart"/>
      <w:r w:rsidR="003030FF">
        <w:t>modificado</w:t>
      </w:r>
      <w:proofErr w:type="gramEnd"/>
      <w:r w:rsidR="003030FF">
        <w:t xml:space="preserve"> según el Real Decreto 1/2016, de 8 de enero, siendo en el nuevo Plan Hidrológico vigente el artículo</w:t>
      </w:r>
      <w:r w:rsidR="000C22F7">
        <w:t xml:space="preserve"> 40 el </w:t>
      </w:r>
      <w:r w:rsidR="003030FF">
        <w:t>que define las limitaciones a los usos en la zona de policía</w:t>
      </w:r>
      <w:r w:rsidR="000C22F7">
        <w:t xml:space="preserve"> inundable.</w:t>
      </w:r>
    </w:p>
    <w:p w:rsidR="00FB20B4" w:rsidRDefault="00FB20B4" w:rsidP="00DB1805">
      <w:r>
        <w:t xml:space="preserve">El punto 2 de dicho artículo establece </w:t>
      </w:r>
      <w:proofErr w:type="gramStart"/>
      <w:r>
        <w:t>los siguiente</w:t>
      </w:r>
      <w:proofErr w:type="gramEnd"/>
      <w:r>
        <w:t>:</w:t>
      </w:r>
    </w:p>
    <w:p w:rsidR="002B3B12" w:rsidRPr="000A4A80" w:rsidRDefault="002D5CB6" w:rsidP="00DB1805">
      <w:pPr>
        <w:rPr>
          <w:i/>
        </w:rPr>
      </w:pPr>
      <w:r>
        <w:rPr>
          <w:i/>
        </w:rPr>
        <w:t>“</w:t>
      </w:r>
      <w:r w:rsidR="002B3B12" w:rsidRPr="000A4A80">
        <w:rPr>
          <w:i/>
        </w:rPr>
        <w:t xml:space="preserve">De conformidad con el artículo 9.2 del </w:t>
      </w:r>
      <w:r w:rsidR="000C22F7">
        <w:rPr>
          <w:i/>
        </w:rPr>
        <w:t>RDPH</w:t>
      </w:r>
      <w:r w:rsidR="002B3B12" w:rsidRPr="000A4A80">
        <w:rPr>
          <w:i/>
        </w:rPr>
        <w:t xml:space="preserve"> </w:t>
      </w:r>
      <w:r w:rsidR="002B3B12" w:rsidRPr="000A4A80">
        <w:rPr>
          <w:rFonts w:ascii="Futura Md BT" w:hAnsi="Futura Md BT"/>
          <w:i/>
        </w:rPr>
        <w:t>en la Zona de Flujo Preferente</w:t>
      </w:r>
      <w:r w:rsidR="002B3B12" w:rsidRPr="000A4A80">
        <w:rPr>
          <w:i/>
        </w:rPr>
        <w:t xml:space="preserve"> sólo podrán ser autorizados por la Administración Hidráulica los usos y actividades permitidos en esta zona que no presenten vulnerabilidad frente a las avenidas y que no supongan una reducción significativa de la capacidad de desagüe de dicha zona. Consecuentemente, </w:t>
      </w:r>
      <w:r w:rsidR="002B3B12" w:rsidRPr="000A4A80">
        <w:rPr>
          <w:rFonts w:ascii="Futura Md BT" w:hAnsi="Futura Md BT"/>
          <w:i/>
        </w:rPr>
        <w:t>con carácter general en esta zona no podrán ser autorizados</w:t>
      </w:r>
      <w:r w:rsidR="002B3B12" w:rsidRPr="000A4A80">
        <w:rPr>
          <w:i/>
        </w:rPr>
        <w:t>:</w:t>
      </w:r>
    </w:p>
    <w:p w:rsidR="002B3B12" w:rsidRPr="000A4A80" w:rsidRDefault="000A4A80" w:rsidP="000A4A80">
      <w:pPr>
        <w:pStyle w:val="Prrafodelista"/>
        <w:numPr>
          <w:ilvl w:val="0"/>
          <w:numId w:val="27"/>
        </w:numPr>
        <w:rPr>
          <w:i/>
        </w:rPr>
      </w:pPr>
      <w:r w:rsidRPr="000A4A80">
        <w:rPr>
          <w:i/>
        </w:rPr>
        <w:t xml:space="preserve">Garajes </w:t>
      </w:r>
      <w:r w:rsidR="000C22F7">
        <w:rPr>
          <w:i/>
        </w:rPr>
        <w:t xml:space="preserve">subterráneos </w:t>
      </w:r>
      <w:r w:rsidRPr="000A4A80">
        <w:rPr>
          <w:i/>
        </w:rPr>
        <w:t>y sótanos.</w:t>
      </w:r>
    </w:p>
    <w:p w:rsidR="000A4A80" w:rsidRPr="000A4A80" w:rsidRDefault="000A4A80" w:rsidP="000A4A80">
      <w:pPr>
        <w:pStyle w:val="Prrafodelista"/>
        <w:numPr>
          <w:ilvl w:val="0"/>
          <w:numId w:val="27"/>
        </w:numPr>
        <w:rPr>
          <w:i/>
        </w:rPr>
      </w:pPr>
      <w:r w:rsidRPr="000A4A80">
        <w:rPr>
          <w:i/>
        </w:rPr>
        <w:t>Las acampadas, en ningún caso.</w:t>
      </w:r>
    </w:p>
    <w:p w:rsidR="000A4A80" w:rsidRPr="000A4A80" w:rsidRDefault="000A4A80" w:rsidP="000A4A80">
      <w:pPr>
        <w:pStyle w:val="Prrafodelista"/>
        <w:numPr>
          <w:ilvl w:val="0"/>
          <w:numId w:val="27"/>
        </w:numPr>
        <w:rPr>
          <w:i/>
        </w:rPr>
      </w:pPr>
      <w:r w:rsidRPr="000C22F7">
        <w:rPr>
          <w:i/>
        </w:rPr>
        <w:t>Nuevas edificaciones, cualquiera que sea su uso, incluyendo</w:t>
      </w:r>
      <w:r w:rsidRPr="000A4A80">
        <w:rPr>
          <w:i/>
        </w:rPr>
        <w:t xml:space="preserve"> centros escolares o sanitarios, residencias </w:t>
      </w:r>
      <w:r w:rsidR="000C22F7">
        <w:rPr>
          <w:i/>
        </w:rPr>
        <w:t>geriátricas o de personas con discapacidad</w:t>
      </w:r>
      <w:r w:rsidRPr="000A4A80">
        <w:rPr>
          <w:i/>
        </w:rPr>
        <w:t>, parque</w:t>
      </w:r>
      <w:r w:rsidR="000C22F7">
        <w:rPr>
          <w:i/>
        </w:rPr>
        <w:t>s</w:t>
      </w:r>
      <w:r w:rsidRPr="000A4A80">
        <w:rPr>
          <w:i/>
        </w:rPr>
        <w:t xml:space="preserve"> de bomberos, instalaciones de los servicios de Protección Civil, estaciones de suministro de carburante, granjas y criaderos de animales.</w:t>
      </w:r>
    </w:p>
    <w:p w:rsidR="000A4A80" w:rsidRPr="000A4A80" w:rsidRDefault="000A4A80" w:rsidP="000A4A80">
      <w:pPr>
        <w:pStyle w:val="Prrafodelista"/>
        <w:numPr>
          <w:ilvl w:val="0"/>
          <w:numId w:val="27"/>
        </w:numPr>
        <w:rPr>
          <w:i/>
        </w:rPr>
      </w:pPr>
      <w:r w:rsidRPr="000A4A80">
        <w:rPr>
          <w:i/>
        </w:rPr>
        <w:t xml:space="preserve">Obras de </w:t>
      </w:r>
      <w:r w:rsidR="000C22F7">
        <w:rPr>
          <w:i/>
        </w:rPr>
        <w:t>reparación de edificaciones existentes que supongan una alteración de su ocupación en planta o de su volumen o el cambio de uso de las mismas que incremente su vulnerabilidad frente a las avenidas.</w:t>
      </w:r>
    </w:p>
    <w:p w:rsidR="000A4A80" w:rsidRDefault="000C22F7" w:rsidP="000A4A80">
      <w:pPr>
        <w:pStyle w:val="Prrafodelista"/>
        <w:numPr>
          <w:ilvl w:val="0"/>
          <w:numId w:val="27"/>
        </w:numPr>
        <w:rPr>
          <w:i/>
        </w:rPr>
      </w:pPr>
      <w:r>
        <w:rPr>
          <w:i/>
        </w:rPr>
        <w:t>C</w:t>
      </w:r>
      <w:r w:rsidR="000A4A80" w:rsidRPr="000A4A80">
        <w:rPr>
          <w:i/>
        </w:rPr>
        <w:t>erramientos y vallados que no sean permeables, tales como los cierres de muro de fábrica de cualquier clase.</w:t>
      </w:r>
    </w:p>
    <w:p w:rsidR="000C22F7" w:rsidRPr="000A4A80" w:rsidRDefault="000C22F7" w:rsidP="000A4A80">
      <w:pPr>
        <w:pStyle w:val="Prrafodelista"/>
        <w:numPr>
          <w:ilvl w:val="0"/>
          <w:numId w:val="27"/>
        </w:numPr>
        <w:rPr>
          <w:i/>
        </w:rPr>
      </w:pPr>
      <w:r>
        <w:rPr>
          <w:i/>
        </w:rPr>
        <w:t>Invernaderos.</w:t>
      </w:r>
    </w:p>
    <w:p w:rsidR="000C22F7" w:rsidRPr="000C22F7" w:rsidRDefault="000A4A80" w:rsidP="000A4A80">
      <w:pPr>
        <w:pStyle w:val="Prrafodelista"/>
        <w:numPr>
          <w:ilvl w:val="0"/>
          <w:numId w:val="27"/>
        </w:numPr>
        <w:rPr>
          <w:i/>
        </w:rPr>
      </w:pPr>
      <w:r w:rsidRPr="000C22F7">
        <w:rPr>
          <w:i/>
        </w:rPr>
        <w:t xml:space="preserve">Rellenos </w:t>
      </w:r>
      <w:r w:rsidR="000C22F7" w:rsidRPr="000C22F7">
        <w:rPr>
          <w:i/>
        </w:rPr>
        <w:t>que modifiquen la rasante actual del terreno y supongan una reducción significativa de la capacidad de desagüe.</w:t>
      </w:r>
    </w:p>
    <w:p w:rsidR="000A4A80" w:rsidRDefault="000C22F7" w:rsidP="000A4A80">
      <w:pPr>
        <w:pStyle w:val="Prrafodelista"/>
        <w:numPr>
          <w:ilvl w:val="0"/>
          <w:numId w:val="27"/>
        </w:numPr>
        <w:rPr>
          <w:i/>
        </w:rPr>
      </w:pPr>
      <w:r>
        <w:rPr>
          <w:i/>
        </w:rPr>
        <w:t>A</w:t>
      </w:r>
      <w:r w:rsidR="000A4A80" w:rsidRPr="000A4A80">
        <w:rPr>
          <w:i/>
        </w:rPr>
        <w:t>copios de materiales o residuos de todo tipo</w:t>
      </w:r>
      <w:r>
        <w:rPr>
          <w:i/>
        </w:rPr>
        <w:t>.</w:t>
      </w:r>
    </w:p>
    <w:p w:rsidR="000C22F7" w:rsidRPr="000A4A80" w:rsidRDefault="000C22F7" w:rsidP="000A4A80">
      <w:pPr>
        <w:pStyle w:val="Prrafodelista"/>
        <w:numPr>
          <w:ilvl w:val="0"/>
          <w:numId w:val="27"/>
        </w:numPr>
        <w:rPr>
          <w:i/>
        </w:rPr>
      </w:pPr>
      <w:r>
        <w:rPr>
          <w:i/>
        </w:rPr>
        <w:t>Instalaciones de aparcamientos de vehículos en superficie así como garajes sobre rasante en los bajos de edificios.</w:t>
      </w:r>
    </w:p>
    <w:p w:rsidR="000A4A80" w:rsidRDefault="000A4A80" w:rsidP="000A4A80">
      <w:pPr>
        <w:pStyle w:val="Prrafodelista"/>
        <w:numPr>
          <w:ilvl w:val="0"/>
          <w:numId w:val="27"/>
        </w:numPr>
        <w:rPr>
          <w:i/>
        </w:rPr>
      </w:pPr>
      <w:r w:rsidRPr="000A4A80">
        <w:rPr>
          <w:i/>
        </w:rPr>
        <w:lastRenderedPageBreak/>
        <w:t>Infraestructuras lineales diseñadas de modo tendente al paralelismo con el cauce, con excepción de las de saneamiento, abastecimiento y otras canalizaciones subterráneas que</w:t>
      </w:r>
      <w:r w:rsidR="000C22F7">
        <w:rPr>
          <w:i/>
        </w:rPr>
        <w:t>,</w:t>
      </w:r>
      <w:r w:rsidRPr="000A4A80">
        <w:rPr>
          <w:i/>
        </w:rPr>
        <w:t xml:space="preserve"> en todo caso, salvo zonas puntuales en que no exista solución viable, deberán situarse fuera de la zona de servidumbre del dominio público hidráulico.”</w:t>
      </w:r>
    </w:p>
    <w:p w:rsidR="000A4A80" w:rsidRDefault="000A4A80" w:rsidP="000A4A80">
      <w:r>
        <w:t xml:space="preserve">Por tanto, conforme al punto anterior, queda claro que dentro de la Zona de Flujo Preferente no </w:t>
      </w:r>
      <w:r w:rsidR="002D5CB6">
        <w:t>sería</w:t>
      </w:r>
      <w:r>
        <w:t xml:space="preserve"> posible ejecutar </w:t>
      </w:r>
      <w:r w:rsidR="002D5CB6">
        <w:t>edificación de ningún tipo.</w:t>
      </w:r>
    </w:p>
    <w:p w:rsidR="002D5CB6" w:rsidRDefault="002D5CB6" w:rsidP="000A4A80">
      <w:r>
        <w:t>Por otro lado, el punto 4 del mismo artículo establece lo siguiente:</w:t>
      </w:r>
    </w:p>
    <w:p w:rsidR="002D5CB6" w:rsidRPr="002D5CB6" w:rsidRDefault="002D5CB6" w:rsidP="000A4A80">
      <w:pPr>
        <w:rPr>
          <w:i/>
        </w:rPr>
      </w:pPr>
      <w:r w:rsidRPr="002D5CB6">
        <w:rPr>
          <w:i/>
        </w:rPr>
        <w:t xml:space="preserve">“Para las solicitudes de autorización en la </w:t>
      </w:r>
      <w:r w:rsidRPr="006D49BC">
        <w:rPr>
          <w:rFonts w:ascii="Futura Md BT" w:hAnsi="Futura Md BT"/>
          <w:i/>
        </w:rPr>
        <w:t>zona de policía inundable, fuera de la Zona de Flujo Preferente</w:t>
      </w:r>
      <w:r w:rsidRPr="002D5CB6">
        <w:rPr>
          <w:i/>
        </w:rPr>
        <w:t>, en el suelo que a</w:t>
      </w:r>
      <w:r w:rsidR="00375BC0">
        <w:rPr>
          <w:i/>
        </w:rPr>
        <w:t xml:space="preserve"> </w:t>
      </w:r>
      <w:r w:rsidR="000C22F7">
        <w:rPr>
          <w:i/>
        </w:rPr>
        <w:t xml:space="preserve">fecha de 9 de junio de 2013 </w:t>
      </w:r>
      <w:r w:rsidRPr="002D5CB6">
        <w:rPr>
          <w:i/>
        </w:rPr>
        <w:t xml:space="preserve"> </w:t>
      </w:r>
      <w:r w:rsidR="00375BC0">
        <w:rPr>
          <w:i/>
        </w:rPr>
        <w:t>se enco</w:t>
      </w:r>
      <w:r w:rsidR="000C22F7">
        <w:rPr>
          <w:i/>
        </w:rPr>
        <w:t>ntrase</w:t>
      </w:r>
      <w:r w:rsidRPr="002D5CB6">
        <w:rPr>
          <w:i/>
        </w:rPr>
        <w:t xml:space="preserve"> en </w:t>
      </w:r>
      <w:r w:rsidRPr="006D49BC">
        <w:rPr>
          <w:rFonts w:ascii="Futura Md BT" w:hAnsi="Futura Md BT"/>
          <w:i/>
        </w:rPr>
        <w:t xml:space="preserve">situación </w:t>
      </w:r>
      <w:r w:rsidR="000C22F7">
        <w:rPr>
          <w:rFonts w:ascii="Futura Md BT" w:hAnsi="Futura Md BT"/>
          <w:i/>
        </w:rPr>
        <w:t xml:space="preserve">básica </w:t>
      </w:r>
      <w:r w:rsidRPr="006D49BC">
        <w:rPr>
          <w:rFonts w:ascii="Futura Md BT" w:hAnsi="Futura Md BT"/>
          <w:i/>
        </w:rPr>
        <w:t>de suelo urbanizado</w:t>
      </w:r>
      <w:r w:rsidR="000C22F7">
        <w:rPr>
          <w:rFonts w:ascii="Futura Md BT" w:hAnsi="Futura Md BT"/>
          <w:i/>
        </w:rPr>
        <w:t>,</w:t>
      </w:r>
      <w:r w:rsidRPr="006D49BC">
        <w:rPr>
          <w:rFonts w:ascii="Futura Md BT" w:hAnsi="Futura Md BT"/>
          <w:i/>
        </w:rPr>
        <w:t xml:space="preserve"> de acuerdo </w:t>
      </w:r>
      <w:r w:rsidR="000C22F7">
        <w:rPr>
          <w:rFonts w:ascii="Futura Md BT" w:hAnsi="Futura Md BT"/>
          <w:i/>
        </w:rPr>
        <w:t>con</w:t>
      </w:r>
      <w:r w:rsidRPr="006D49BC">
        <w:rPr>
          <w:rFonts w:ascii="Futura Md BT" w:hAnsi="Futura Md BT"/>
          <w:i/>
        </w:rPr>
        <w:t xml:space="preserve"> lo dispuesto en el artículo </w:t>
      </w:r>
      <w:r w:rsidR="00375BC0">
        <w:rPr>
          <w:rFonts w:ascii="Futura Md BT" w:hAnsi="Futura Md BT"/>
          <w:i/>
        </w:rPr>
        <w:t>12</w:t>
      </w:r>
      <w:r w:rsidRPr="006D49BC">
        <w:rPr>
          <w:rFonts w:ascii="Futura Md BT" w:hAnsi="Futura Md BT"/>
          <w:i/>
        </w:rPr>
        <w:t xml:space="preserve"> del texto refundido de la Ley del Suelo,</w:t>
      </w:r>
      <w:r w:rsidRPr="002D5CB6">
        <w:rPr>
          <w:i/>
        </w:rPr>
        <w:t xml:space="preserve"> </w:t>
      </w:r>
      <w:r w:rsidR="000C22F7">
        <w:rPr>
          <w:i/>
        </w:rPr>
        <w:t xml:space="preserve">entonces vigente, </w:t>
      </w:r>
      <w:r w:rsidRPr="002D5CB6">
        <w:rPr>
          <w:i/>
        </w:rPr>
        <w:t xml:space="preserve">se podrá exigir un estudio hidráulico de detalle que defina y justifique las medidas correctoras necesarias para hacer factible la actuación, las cuales deberán ser en todo caso ambientalmente asumibles y no agravar la </w:t>
      </w:r>
      <w:proofErr w:type="spellStart"/>
      <w:r w:rsidRPr="002D5CB6">
        <w:rPr>
          <w:i/>
        </w:rPr>
        <w:t>inundabilidad</w:t>
      </w:r>
      <w:proofErr w:type="spellEnd"/>
      <w:r w:rsidRPr="002D5CB6">
        <w:rPr>
          <w:i/>
        </w:rPr>
        <w:t xml:space="preserve"> y el riego preexistente en el entorno.</w:t>
      </w:r>
    </w:p>
    <w:p w:rsidR="002D5CB6" w:rsidRPr="006D49BC" w:rsidRDefault="002D5CB6" w:rsidP="002D5CB6">
      <w:pPr>
        <w:rPr>
          <w:i/>
        </w:rPr>
      </w:pPr>
      <w:r w:rsidRPr="006D49BC">
        <w:rPr>
          <w:i/>
        </w:rPr>
        <w:t>Con carácter general</w:t>
      </w:r>
      <w:r w:rsidR="000C22F7">
        <w:rPr>
          <w:i/>
        </w:rPr>
        <w:t>,</w:t>
      </w:r>
      <w:r w:rsidRPr="006D49BC">
        <w:rPr>
          <w:i/>
        </w:rPr>
        <w:t xml:space="preserve"> en esta zona</w:t>
      </w:r>
      <w:r w:rsidR="000C22F7">
        <w:rPr>
          <w:i/>
        </w:rPr>
        <w:t>,</w:t>
      </w:r>
      <w:r w:rsidRPr="006D49BC">
        <w:rPr>
          <w:i/>
        </w:rPr>
        <w:t xml:space="preserve"> no podrán ser autorizados:</w:t>
      </w:r>
    </w:p>
    <w:p w:rsidR="000C22F7" w:rsidRDefault="000C22F7" w:rsidP="002D5CB6">
      <w:pPr>
        <w:pStyle w:val="Prrafodelista"/>
        <w:numPr>
          <w:ilvl w:val="0"/>
          <w:numId w:val="28"/>
        </w:numPr>
        <w:rPr>
          <w:i/>
        </w:rPr>
      </w:pPr>
      <w:r>
        <w:rPr>
          <w:i/>
        </w:rPr>
        <w:t>Nuevos usos residenciales que se dispongan a una cota alcanzable por la avenida de periodo de retorno de 500 años.</w:t>
      </w:r>
    </w:p>
    <w:p w:rsidR="002D5CB6" w:rsidRPr="002D5CB6" w:rsidRDefault="002D5CB6" w:rsidP="002D5CB6">
      <w:pPr>
        <w:pStyle w:val="Prrafodelista"/>
        <w:numPr>
          <w:ilvl w:val="0"/>
          <w:numId w:val="28"/>
        </w:numPr>
        <w:rPr>
          <w:i/>
        </w:rPr>
      </w:pPr>
      <w:r w:rsidRPr="002D5CB6">
        <w:rPr>
          <w:i/>
        </w:rPr>
        <w:t xml:space="preserve">Garajes </w:t>
      </w:r>
      <w:r w:rsidR="000C22F7">
        <w:rPr>
          <w:i/>
        </w:rPr>
        <w:t xml:space="preserve">subterráneos </w:t>
      </w:r>
      <w:r w:rsidRPr="002D5CB6">
        <w:rPr>
          <w:i/>
        </w:rPr>
        <w:t xml:space="preserve">y sótanos, salvo que se </w:t>
      </w:r>
      <w:r w:rsidR="000C22F7">
        <w:rPr>
          <w:i/>
        </w:rPr>
        <w:t>garantice la estanqueidad del recinto para la avenida de 500 años de periodo de reto</w:t>
      </w:r>
      <w:r w:rsidR="004B4009">
        <w:rPr>
          <w:i/>
        </w:rPr>
        <w:t>r</w:t>
      </w:r>
      <w:r w:rsidR="000C22F7">
        <w:rPr>
          <w:i/>
        </w:rPr>
        <w:t>no</w:t>
      </w:r>
      <w:r w:rsidR="004B4009">
        <w:rPr>
          <w:i/>
        </w:rPr>
        <w:t xml:space="preserve"> </w:t>
      </w:r>
      <w:r w:rsidR="000C22F7">
        <w:rPr>
          <w:i/>
        </w:rPr>
        <w:t>y</w:t>
      </w:r>
      <w:r w:rsidRPr="002D5CB6">
        <w:rPr>
          <w:i/>
        </w:rPr>
        <w:t xml:space="preserve"> dispongan de respiraderos </w:t>
      </w:r>
      <w:r w:rsidR="004B4009">
        <w:rPr>
          <w:i/>
        </w:rPr>
        <w:t>y vías de evacuación por encima de la cota de dicha avenida.</w:t>
      </w:r>
    </w:p>
    <w:p w:rsidR="002D5CB6" w:rsidRPr="002D5CB6" w:rsidRDefault="002D5CB6" w:rsidP="002D5CB6">
      <w:pPr>
        <w:pStyle w:val="Prrafodelista"/>
        <w:numPr>
          <w:ilvl w:val="0"/>
          <w:numId w:val="28"/>
        </w:numPr>
        <w:rPr>
          <w:i/>
        </w:rPr>
      </w:pPr>
      <w:r w:rsidRPr="002D5CB6">
        <w:rPr>
          <w:i/>
        </w:rPr>
        <w:t>Las acampadas en ningún caso.</w:t>
      </w:r>
    </w:p>
    <w:p w:rsidR="002D5CB6" w:rsidRPr="002D5CB6" w:rsidRDefault="002D5CB6" w:rsidP="002D5CB6">
      <w:pPr>
        <w:pStyle w:val="Prrafodelista"/>
        <w:numPr>
          <w:ilvl w:val="0"/>
          <w:numId w:val="28"/>
        </w:numPr>
        <w:rPr>
          <w:i/>
        </w:rPr>
      </w:pPr>
      <w:r w:rsidRPr="002D5CB6">
        <w:rPr>
          <w:i/>
        </w:rPr>
        <w:t xml:space="preserve">Las infraestructuras públicas esenciales en las que deba asegurarse su accesibilidad en situación de emergencia por graves inundaciones, tales como centros escolares o sanitarios, </w:t>
      </w:r>
      <w:r w:rsidR="004B4009" w:rsidRPr="000A4A80">
        <w:rPr>
          <w:i/>
        </w:rPr>
        <w:t xml:space="preserve">residencias </w:t>
      </w:r>
      <w:r w:rsidR="004B4009">
        <w:rPr>
          <w:i/>
        </w:rPr>
        <w:t>geriátricas o de personas con discapacidad</w:t>
      </w:r>
      <w:r w:rsidRPr="002D5CB6">
        <w:rPr>
          <w:i/>
        </w:rPr>
        <w:t>, parque</w:t>
      </w:r>
      <w:r w:rsidR="004B4009">
        <w:rPr>
          <w:i/>
        </w:rPr>
        <w:t>s</w:t>
      </w:r>
      <w:r w:rsidRPr="002D5CB6">
        <w:rPr>
          <w:i/>
        </w:rPr>
        <w:t xml:space="preserve"> de bomberos, instalaciones de los servicios de Protección Civil.</w:t>
      </w:r>
    </w:p>
    <w:p w:rsidR="004B4009" w:rsidRPr="004B4009" w:rsidRDefault="004B4009" w:rsidP="004B4009">
      <w:pPr>
        <w:pStyle w:val="Prrafodelista"/>
        <w:numPr>
          <w:ilvl w:val="0"/>
          <w:numId w:val="28"/>
        </w:numPr>
        <w:rPr>
          <w:i/>
        </w:rPr>
      </w:pPr>
      <w:r w:rsidRPr="000C22F7">
        <w:rPr>
          <w:i/>
        </w:rPr>
        <w:t>Rellenos que modifiquen la rasante actual del terreno y supongan una reducción significativa de la capacidad de desagüe.</w:t>
      </w:r>
    </w:p>
    <w:p w:rsidR="002D5CB6" w:rsidRPr="002D5CB6" w:rsidRDefault="002D5CB6" w:rsidP="002D5CB6">
      <w:pPr>
        <w:pStyle w:val="Prrafodelista"/>
        <w:numPr>
          <w:ilvl w:val="0"/>
          <w:numId w:val="28"/>
        </w:numPr>
        <w:rPr>
          <w:i/>
        </w:rPr>
      </w:pPr>
      <w:r w:rsidRPr="002D5CB6">
        <w:rPr>
          <w:i/>
        </w:rPr>
        <w:t>Acopios de materiales o residuos de todo tipo</w:t>
      </w:r>
      <w:r w:rsidR="004B4009">
        <w:rPr>
          <w:i/>
        </w:rPr>
        <w:t>.</w:t>
      </w:r>
    </w:p>
    <w:p w:rsidR="006D49BC" w:rsidRDefault="004B4009" w:rsidP="002D5CB6">
      <w:r>
        <w:t>Por tanto</w:t>
      </w:r>
      <w:r w:rsidR="006D49BC">
        <w:t>, fuera de la Zona de Flujo Preferente, si el suelo presenta una calificación de suelo urbanizado, según la Ley del Suelo, sí es posible ejecutar rellenos y edificacio</w:t>
      </w:r>
      <w:r>
        <w:t xml:space="preserve">nes, siempre que no supongan una reducción significativa de la capacidad de desagüe </w:t>
      </w:r>
      <w:r w:rsidR="006D49BC">
        <w:t>y estableciendo una cota para los usos residenciales igual o superior a la correspondiente a la avenida de 500 años de periodo de retorno.</w:t>
      </w:r>
    </w:p>
    <w:p w:rsidR="00EB724C" w:rsidRDefault="00F04D5B" w:rsidP="002D5CB6">
      <w:r>
        <w:t>El</w:t>
      </w:r>
      <w:r w:rsidR="00EB724C">
        <w:t xml:space="preserve"> SAPU-</w:t>
      </w:r>
      <w:r w:rsidR="00EB724C" w:rsidRPr="00F04D5B">
        <w:t>R-BIDEONDO</w:t>
      </w:r>
      <w:r w:rsidRPr="00F04D5B">
        <w:t xml:space="preserve">, presenta una situación de suelo urbanizado </w:t>
      </w:r>
      <w:r w:rsidRPr="00F04D5B">
        <w:rPr>
          <w:i/>
        </w:rPr>
        <w:t>de acuerdo a lo dispuesto en el artículo 12.3 del texto refundido de la Ley del Suelo</w:t>
      </w:r>
      <w:r>
        <w:rPr>
          <w:i/>
        </w:rPr>
        <w:t>, según el informe del arquitecto municipal que se adjunta a continuación del presente apartado por lo que, según lo estableci</w:t>
      </w:r>
      <w:r w:rsidR="004B4009">
        <w:rPr>
          <w:i/>
        </w:rPr>
        <w:t>do en el punto 4 del artículo 40</w:t>
      </w:r>
      <w:r>
        <w:rPr>
          <w:i/>
        </w:rPr>
        <w:t xml:space="preserve"> del </w:t>
      </w:r>
      <w:r>
        <w:t xml:space="preserve">Plan Hidrológico presentado, </w:t>
      </w:r>
      <w:r w:rsidR="004B4009">
        <w:t xml:space="preserve">(artículo 53 del Plan Hidrológico </w:t>
      </w:r>
      <w:r w:rsidR="004B4009">
        <w:lastRenderedPageBreak/>
        <w:t xml:space="preserve">recientemente derogado), </w:t>
      </w:r>
      <w:r>
        <w:t>en la superficie de inundación correspondiente a la avenida de 100 años de periodo de retorno</w:t>
      </w:r>
      <w:r w:rsidR="00C6648A">
        <w:t>,</w:t>
      </w:r>
      <w:r>
        <w:t xml:space="preserve"> fuera de la Zona de Flujo Preferente, sí podría ejecutarse el proyecto de urbanización presentado.</w:t>
      </w:r>
    </w:p>
    <w:p w:rsidR="006D49BC" w:rsidRPr="006D49BC" w:rsidRDefault="006D49BC" w:rsidP="002D5CB6">
      <w:r>
        <w:t xml:space="preserve">Por su parte, el artículo </w:t>
      </w:r>
      <w:r w:rsidR="004B4009">
        <w:t>42, que</w:t>
      </w:r>
      <w:r>
        <w:t xml:space="preserve"> recoge las medidas de protección frente a inundaciones, </w:t>
      </w:r>
      <w:r w:rsidR="004B4009">
        <w:t xml:space="preserve">(artículo 54 del Plan Hidrológico recientemente derogado), </w:t>
      </w:r>
      <w:r>
        <w:t>e</w:t>
      </w:r>
      <w:r w:rsidRPr="006D49BC">
        <w:t>stablece en su punto 1 lo siguiente:</w:t>
      </w:r>
    </w:p>
    <w:p w:rsidR="006D49BC" w:rsidRDefault="006D49BC" w:rsidP="002D5CB6">
      <w:pPr>
        <w:rPr>
          <w:i/>
        </w:rPr>
      </w:pPr>
      <w:r w:rsidRPr="002A4BD6">
        <w:rPr>
          <w:rFonts w:ascii="Futura Md BT" w:hAnsi="Futura Md BT"/>
          <w:i/>
        </w:rPr>
        <w:t xml:space="preserve">“En el suelo que esté en situación básica de urbanizado de acuerdo con lo dispuesto en el artículo </w:t>
      </w:r>
      <w:r w:rsidR="00375BC0">
        <w:rPr>
          <w:rFonts w:ascii="Futura Md BT" w:hAnsi="Futura Md BT"/>
          <w:i/>
        </w:rPr>
        <w:t>21</w:t>
      </w:r>
      <w:r w:rsidRPr="002A4BD6">
        <w:rPr>
          <w:rFonts w:ascii="Futura Md BT" w:hAnsi="Futura Md BT"/>
          <w:i/>
        </w:rPr>
        <w:t xml:space="preserve"> del texto refundido de la Ley del Suelo</w:t>
      </w:r>
      <w:r w:rsidR="00375BC0">
        <w:rPr>
          <w:rFonts w:ascii="Futura Md BT" w:hAnsi="Futura Md BT"/>
          <w:i/>
        </w:rPr>
        <w:t xml:space="preserve"> y Rehabilitación Urbana</w:t>
      </w:r>
      <w:r w:rsidRPr="00357926">
        <w:rPr>
          <w:rFonts w:ascii="Futura Md BT" w:hAnsi="Futura Md BT"/>
          <w:i/>
        </w:rPr>
        <w:t>,</w:t>
      </w:r>
      <w:r w:rsidR="002A4BD6" w:rsidRPr="00357926">
        <w:rPr>
          <w:rFonts w:ascii="Futura Md BT" w:hAnsi="Futura Md BT"/>
          <w:i/>
        </w:rPr>
        <w:t xml:space="preserve"> </w:t>
      </w:r>
      <w:r w:rsidRPr="00357926">
        <w:rPr>
          <w:rFonts w:ascii="Futura Md BT" w:hAnsi="Futura Md BT"/>
          <w:i/>
        </w:rPr>
        <w:t>cuand</w:t>
      </w:r>
      <w:r w:rsidR="002A4BD6" w:rsidRPr="00357926">
        <w:rPr>
          <w:rFonts w:ascii="Futura Md BT" w:hAnsi="Futura Md BT"/>
          <w:i/>
        </w:rPr>
        <w:t>o</w:t>
      </w:r>
      <w:r w:rsidRPr="00357926">
        <w:rPr>
          <w:rFonts w:ascii="Futura Md BT" w:hAnsi="Futura Md BT"/>
          <w:i/>
        </w:rPr>
        <w:t xml:space="preserve"> para la protección de personas y bienes sea necesaria la realización de a</w:t>
      </w:r>
      <w:r w:rsidR="002A4BD6" w:rsidRPr="00357926">
        <w:rPr>
          <w:rFonts w:ascii="Futura Md BT" w:hAnsi="Futura Md BT"/>
          <w:i/>
        </w:rPr>
        <w:t>ctuaciones estructurales de def</w:t>
      </w:r>
      <w:r w:rsidRPr="00357926">
        <w:rPr>
          <w:rFonts w:ascii="Futura Md BT" w:hAnsi="Futura Md BT"/>
          <w:i/>
        </w:rPr>
        <w:t>e</w:t>
      </w:r>
      <w:r w:rsidR="002A4BD6" w:rsidRPr="00357926">
        <w:rPr>
          <w:rFonts w:ascii="Futura Md BT" w:hAnsi="Futura Md BT"/>
          <w:i/>
        </w:rPr>
        <w:t>nsa, el niv</w:t>
      </w:r>
      <w:r w:rsidRPr="00357926">
        <w:rPr>
          <w:rFonts w:ascii="Futura Md BT" w:hAnsi="Futura Md BT"/>
          <w:i/>
        </w:rPr>
        <w:t>e</w:t>
      </w:r>
      <w:r w:rsidR="002A4BD6" w:rsidRPr="00357926">
        <w:rPr>
          <w:rFonts w:ascii="Futura Md BT" w:hAnsi="Futura Md BT"/>
          <w:i/>
        </w:rPr>
        <w:t>l</w:t>
      </w:r>
      <w:r w:rsidRPr="00357926">
        <w:rPr>
          <w:rFonts w:ascii="Futura Md BT" w:hAnsi="Futura Md BT"/>
          <w:i/>
        </w:rPr>
        <w:t xml:space="preserve"> de protección será el establecido, en su caso, por el Plan de Gestión del Riesgo de Inundación para esa localidad</w:t>
      </w:r>
      <w:r w:rsidRPr="006D49BC">
        <w:rPr>
          <w:i/>
        </w:rPr>
        <w:t xml:space="preserve">. </w:t>
      </w:r>
      <w:r w:rsidRPr="00EB724C">
        <w:rPr>
          <w:rFonts w:ascii="Futura Md BT" w:hAnsi="Futura Md BT"/>
          <w:i/>
        </w:rPr>
        <w:t>A falta de esta previsión y, con carácter general, se diseñará el encauzamiento para que el núcleo urbano quede fuera de la zona inundable con periodo de retorno de al menos 100 años.”</w:t>
      </w:r>
    </w:p>
    <w:p w:rsidR="00F04D5B" w:rsidRDefault="00EB724C" w:rsidP="00EB724C">
      <w:r>
        <w:t>El</w:t>
      </w:r>
      <w:r w:rsidR="00357926">
        <w:t xml:space="preserve"> municipio de </w:t>
      </w:r>
      <w:proofErr w:type="spellStart"/>
      <w:r w:rsidR="00357926">
        <w:t>Iurreta</w:t>
      </w:r>
      <w:proofErr w:type="spellEnd"/>
      <w:r>
        <w:t xml:space="preserve"> cuenta con un plan de encauzamiento del río </w:t>
      </w:r>
      <w:proofErr w:type="spellStart"/>
      <w:r>
        <w:t>Ibaizabal</w:t>
      </w:r>
      <w:proofErr w:type="spellEnd"/>
      <w:r>
        <w:t xml:space="preserve"> con el fin de reducir la </w:t>
      </w:r>
      <w:proofErr w:type="spellStart"/>
      <w:proofErr w:type="gramStart"/>
      <w:r>
        <w:t>inundabilidad</w:t>
      </w:r>
      <w:proofErr w:type="spellEnd"/>
      <w:r>
        <w:t xml:space="preserve"> ,</w:t>
      </w:r>
      <w:proofErr w:type="gramEnd"/>
      <w:r>
        <w:t xml:space="preserve"> que </w:t>
      </w:r>
      <w:r w:rsidR="00357926">
        <w:t xml:space="preserve">implica actuaciones que en ningún caso </w:t>
      </w:r>
      <w:r>
        <w:t xml:space="preserve">se ven condicionadas por la ejecución de las obras previstas en el proyecto de urbanización del sector SAPU-R-BIDEONDO y que se encuentran recogidas en el correspondiente Plan de Gestión del Riesgo de Inundación de la localidad. </w:t>
      </w:r>
    </w:p>
    <w:p w:rsidR="00EB724C" w:rsidRDefault="00EB724C" w:rsidP="00EB724C">
      <w:r>
        <w:t xml:space="preserve">Por tanto, </w:t>
      </w:r>
      <w:r w:rsidR="00F04D5B">
        <w:t>puesto que tal y como ya se ha comentado</w:t>
      </w:r>
      <w:r w:rsidR="00375BC0">
        <w:t>,</w:t>
      </w:r>
      <w:r w:rsidR="00F04D5B">
        <w:t xml:space="preserve"> el SAPU-R-BIDEONDO </w:t>
      </w:r>
      <w:r w:rsidR="00F04D5B" w:rsidRPr="00F04D5B">
        <w:t xml:space="preserve">presenta una situación de suelo urbanizado </w:t>
      </w:r>
      <w:r w:rsidR="00F04D5B" w:rsidRPr="00F04D5B">
        <w:rPr>
          <w:i/>
        </w:rPr>
        <w:t xml:space="preserve">de acuerdo a lo dispuesto en el artículo </w:t>
      </w:r>
      <w:r w:rsidR="00375BC0">
        <w:rPr>
          <w:i/>
        </w:rPr>
        <w:t>12</w:t>
      </w:r>
      <w:r w:rsidR="00F04D5B" w:rsidRPr="00F04D5B">
        <w:rPr>
          <w:i/>
        </w:rPr>
        <w:t xml:space="preserve"> del texto refundido de la Ley del Suelo</w:t>
      </w:r>
      <w:r w:rsidR="00375BC0">
        <w:rPr>
          <w:i/>
        </w:rPr>
        <w:t xml:space="preserve"> anterior, que se corresponde exacta</w:t>
      </w:r>
      <w:r w:rsidR="00375BC0" w:rsidRPr="00375BC0">
        <w:rPr>
          <w:i/>
        </w:rPr>
        <w:t>mente con el artículo 21 del texto refundido de la Ley del Suelo y Rehabilitación Urbana, apro</w:t>
      </w:r>
      <w:r w:rsidR="00375BC0">
        <w:rPr>
          <w:i/>
        </w:rPr>
        <w:t>bada por el Real De</w:t>
      </w:r>
      <w:r w:rsidR="00375BC0" w:rsidRPr="00375BC0">
        <w:rPr>
          <w:i/>
        </w:rPr>
        <w:t>creto Legislativo 7/2015, de 30 de octubre</w:t>
      </w:r>
      <w:r w:rsidR="00F04D5B" w:rsidRPr="00375BC0">
        <w:rPr>
          <w:i/>
        </w:rPr>
        <w:t xml:space="preserve"> y</w:t>
      </w:r>
      <w:r w:rsidR="0014465C" w:rsidRPr="00375BC0">
        <w:rPr>
          <w:i/>
        </w:rPr>
        <w:t>,</w:t>
      </w:r>
      <w:r w:rsidR="00F04D5B" w:rsidRPr="00375BC0">
        <w:t xml:space="preserve"> </w:t>
      </w:r>
      <w:r w:rsidRPr="00375BC0">
        <w:t xml:space="preserve">al sí </w:t>
      </w:r>
      <w:r>
        <w:t xml:space="preserve">existir esa previsión de actuación de defensa frente a inundaciones, </w:t>
      </w:r>
      <w:r w:rsidR="00F04D5B">
        <w:t>el condicionante de diseño de un plan de encauzamiento fuera de la zona inundable con periodo de retorno de 100 años carece de aplicación y por tanto, sí sería posible</w:t>
      </w:r>
      <w:r w:rsidR="0014465C">
        <w:t>,</w:t>
      </w:r>
      <w:r w:rsidR="00F04D5B">
        <w:t xml:space="preserve"> también en virtud de lo expuesto en el artículo </w:t>
      </w:r>
      <w:r w:rsidR="00375BC0">
        <w:t>42</w:t>
      </w:r>
      <w:r w:rsidR="00F04D5B">
        <w:t>, ejecutar el proyecto de urbanización en la superficie ocupada por dich</w:t>
      </w:r>
      <w:r w:rsidR="007218C1">
        <w:t>a avenida, fuera de la Zona de F</w:t>
      </w:r>
      <w:r w:rsidR="00F04D5B">
        <w:t>lujo Preferente.</w:t>
      </w:r>
    </w:p>
    <w:p w:rsidR="007218C1" w:rsidRDefault="007218C1" w:rsidP="00EB724C">
      <w:r>
        <w:t xml:space="preserve">Debido a esto, </w:t>
      </w:r>
      <w:r w:rsidR="00D03BB2">
        <w:t>resulta fundamental el análisis detallado de la Zona de Flujo Preferente.</w:t>
      </w:r>
    </w:p>
    <w:p w:rsidR="00375BC0" w:rsidRDefault="00375BC0" w:rsidP="00EB724C">
      <w:r>
        <w:t>Se presenta a continuación la justificación de situación de suelo urbanizado del sector:</w:t>
      </w:r>
    </w:p>
    <w:p w:rsidR="00EB724C" w:rsidRPr="00357926" w:rsidRDefault="00EB724C" w:rsidP="002D5CB6"/>
    <w:p w:rsidR="002D5CB6" w:rsidRDefault="002D5CB6" w:rsidP="000A4A80"/>
    <w:p w:rsidR="002D5CB6" w:rsidRPr="000A4A80" w:rsidRDefault="002D5CB6" w:rsidP="000A4A80"/>
    <w:p w:rsidR="00FB20B4" w:rsidRDefault="00FB20B4" w:rsidP="00DB1805"/>
    <w:p w:rsidR="00DB1805" w:rsidRDefault="00DB1805" w:rsidP="00DB1805">
      <w:pPr>
        <w:overflowPunct/>
        <w:autoSpaceDE/>
        <w:autoSpaceDN/>
        <w:adjustRightInd/>
        <w:spacing w:after="0" w:line="240" w:lineRule="auto"/>
        <w:textAlignment w:val="auto"/>
      </w:pPr>
      <w:r>
        <w:br w:type="page"/>
      </w:r>
    </w:p>
    <w:p w:rsidR="00DB1805" w:rsidRPr="00CE7840" w:rsidRDefault="00D03BB2" w:rsidP="00D03BB2">
      <w:pPr>
        <w:jc w:val="center"/>
      </w:pPr>
      <w:r>
        <w:rPr>
          <w:noProof/>
        </w:rPr>
        <w:lastRenderedPageBreak/>
        <w:drawing>
          <wp:inline distT="0" distB="0" distL="0" distR="0">
            <wp:extent cx="5284440" cy="7683690"/>
            <wp:effectExtent l="19050" t="0" r="0" b="0"/>
            <wp:docPr id="1" name="0 Imagen" descr="calificacion suelo SAPU-R-BIDEON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ificacion suelo SAPU-R-BIDEONDO.jpg"/>
                    <pic:cNvPicPr/>
                  </pic:nvPicPr>
                  <pic:blipFill>
                    <a:blip r:embed="rId16" cstate="print"/>
                    <a:stretch>
                      <a:fillRect/>
                    </a:stretch>
                  </pic:blipFill>
                  <pic:spPr>
                    <a:xfrm>
                      <a:off x="0" y="0"/>
                      <a:ext cx="5287344" cy="7687912"/>
                    </a:xfrm>
                    <a:prstGeom prst="rect">
                      <a:avLst/>
                    </a:prstGeom>
                  </pic:spPr>
                </pic:pic>
              </a:graphicData>
            </a:graphic>
          </wp:inline>
        </w:drawing>
      </w:r>
    </w:p>
    <w:p w:rsidR="00565AFA" w:rsidRDefault="00565AFA" w:rsidP="0086056C">
      <w:pPr>
        <w:pStyle w:val="Ttulo1"/>
      </w:pPr>
      <w:bookmarkStart w:id="8" w:name="_Toc441142600"/>
      <w:r>
        <w:lastRenderedPageBreak/>
        <w:t>Estudio hidráulico</w:t>
      </w:r>
      <w:bookmarkEnd w:id="8"/>
      <w:r>
        <w:t xml:space="preserve"> </w:t>
      </w:r>
    </w:p>
    <w:p w:rsidR="00BA49F2" w:rsidRDefault="0014465C" w:rsidP="00BA49F2">
      <w:r>
        <w:t>Como ya se ha comentado, uno de los puntos</w:t>
      </w:r>
      <w:r w:rsidR="00BA49F2">
        <w:t xml:space="preserve"> a los que hace referencia la respuesta de la Agencia Vasca del Agua es al hecho de que alguno de los edificios previstos en el proyecto de urbanización del sector SAPU-R-BIDEONDO se encuentra dentro de la Zona de Flujo Preferente.</w:t>
      </w:r>
    </w:p>
    <w:p w:rsidR="00BA49F2" w:rsidRPr="00BA49F2" w:rsidRDefault="00BA49F2" w:rsidP="00BA49F2">
      <w:r>
        <w:t xml:space="preserve">Por </w:t>
      </w:r>
      <w:r w:rsidR="0014465C">
        <w:t xml:space="preserve">este motivo y por lo expuesto en el apartado anterior, </w:t>
      </w:r>
      <w:r>
        <w:t xml:space="preserve"> se ha llevado a cabo una comprobación de dicha Zona de Flujo Preferente y de su afección al proyecto.</w:t>
      </w:r>
    </w:p>
    <w:p w:rsidR="00BA49F2" w:rsidRPr="00BA49F2" w:rsidRDefault="00BA49F2" w:rsidP="00BA49F2">
      <w:pPr>
        <w:pStyle w:val="Ttulo2"/>
      </w:pPr>
      <w:bookmarkStart w:id="9" w:name="_Toc441142601"/>
      <w:r>
        <w:t xml:space="preserve">Revisión del modelo hidráulico del río </w:t>
      </w:r>
      <w:proofErr w:type="spellStart"/>
      <w:r>
        <w:t>Ibaizábal</w:t>
      </w:r>
      <w:proofErr w:type="spellEnd"/>
      <w:r>
        <w:t xml:space="preserve"> aportado por la Agencia Vasca del Agua</w:t>
      </w:r>
      <w:bookmarkEnd w:id="9"/>
    </w:p>
    <w:p w:rsidR="00BA49F2" w:rsidRDefault="00BA49F2" w:rsidP="00BA49F2">
      <w:r>
        <w:t xml:space="preserve">FULCRUM cuenta con el modelo hidráulico del río </w:t>
      </w:r>
      <w:proofErr w:type="spellStart"/>
      <w:r>
        <w:t>Ibaizabal</w:t>
      </w:r>
      <w:proofErr w:type="spellEnd"/>
      <w:r>
        <w:t xml:space="preserve"> elaborado por la Agencia Vasca del Agua para la delimitación de las superficies de inundación en el ARPSI ES018-BIZ-9-1, correspondiente al término municipal de </w:t>
      </w:r>
      <w:proofErr w:type="spellStart"/>
      <w:r>
        <w:t>Iurreta</w:t>
      </w:r>
      <w:proofErr w:type="spellEnd"/>
      <w:r>
        <w:t xml:space="preserve">, por lo que se ha realizado una primera revisión, para conocer a qué es debida esta </w:t>
      </w:r>
      <w:proofErr w:type="spellStart"/>
      <w:r>
        <w:t>inundabilidad</w:t>
      </w:r>
      <w:proofErr w:type="spellEnd"/>
      <w:r>
        <w:t xml:space="preserve"> y qué características tiene.</w:t>
      </w:r>
    </w:p>
    <w:p w:rsidR="00BA49F2" w:rsidRDefault="00BA49F2" w:rsidP="00BA49F2">
      <w:r>
        <w:t xml:space="preserve">Como primera reflexión, se puede concluir que el arroyo que produce la </w:t>
      </w:r>
      <w:proofErr w:type="spellStart"/>
      <w:r>
        <w:t>inundabilidad</w:t>
      </w:r>
      <w:proofErr w:type="spellEnd"/>
      <w:r>
        <w:t xml:space="preserve"> correspondiente a la avenida de 100 años de periodo de retorno en el ámbito de estudio es el arroyo </w:t>
      </w:r>
      <w:proofErr w:type="spellStart"/>
      <w:r>
        <w:t>Zaldei</w:t>
      </w:r>
      <w:proofErr w:type="spellEnd"/>
      <w:r>
        <w:t xml:space="preserve">, que discurre por el Este del sector, pero que se encuentra totalmente condicionado por la cota del río </w:t>
      </w:r>
      <w:proofErr w:type="spellStart"/>
      <w:r>
        <w:t>Ibaizabal</w:t>
      </w:r>
      <w:proofErr w:type="spellEnd"/>
      <w:r>
        <w:t xml:space="preserve"> en la confluencia entre ambos.</w:t>
      </w:r>
    </w:p>
    <w:p w:rsidR="00BA49F2" w:rsidRDefault="00BA49F2" w:rsidP="00BA49F2">
      <w:r>
        <w:t xml:space="preserve">En el perfil longitudinal del arroyo </w:t>
      </w:r>
      <w:proofErr w:type="spellStart"/>
      <w:r>
        <w:t>Zaldei</w:t>
      </w:r>
      <w:proofErr w:type="spellEnd"/>
      <w:r>
        <w:t xml:space="preserve"> obtenido directamente del modelo hidráulico que se muestra a continuación, puede verse cómo la lámina de agua correspondiente a la avenida de 100 años de periodo de retorno, parte de una cota determinada, dada por la cota de la avenida en el río </w:t>
      </w:r>
      <w:proofErr w:type="spellStart"/>
      <w:r>
        <w:t>Ibaizabal</w:t>
      </w:r>
      <w:proofErr w:type="spellEnd"/>
      <w:r>
        <w:t xml:space="preserve"> y no se presenta paralela al fondo del arroyo</w:t>
      </w:r>
      <w:r w:rsidR="00C6648A">
        <w:t>,</w:t>
      </w:r>
      <w:r>
        <w:t xml:space="preserve"> sino que es prácticamente horizontal hasta 220 metros aguas arriba de la confluencia, es decir, bastante más aguas arriba del ámbito de estudio. Esto demuestra que la capacidad de desagüe del arroyo </w:t>
      </w:r>
      <w:proofErr w:type="spellStart"/>
      <w:r>
        <w:t>Zaldei</w:t>
      </w:r>
      <w:proofErr w:type="spellEnd"/>
      <w:r>
        <w:t xml:space="preserve"> está totalmente condicionada con el caudal circulante y su cota correspondiente en el río </w:t>
      </w:r>
      <w:proofErr w:type="spellStart"/>
      <w:r>
        <w:t>Ibaizabal</w:t>
      </w:r>
      <w:proofErr w:type="spellEnd"/>
      <w:r>
        <w:t>.</w:t>
      </w:r>
    </w:p>
    <w:p w:rsidR="00D810E0" w:rsidRDefault="00BA49F2" w:rsidP="00D810E0">
      <w:pPr>
        <w:spacing w:after="0" w:line="0" w:lineRule="atLeast"/>
        <w:jc w:val="center"/>
      </w:pPr>
      <w:r>
        <w:rPr>
          <w:noProof/>
        </w:rPr>
        <w:lastRenderedPageBreak/>
        <w:drawing>
          <wp:inline distT="0" distB="0" distL="0" distR="0">
            <wp:extent cx="2327428" cy="3055083"/>
            <wp:effectExtent l="381000" t="0" r="358622" b="0"/>
            <wp:docPr id="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rot="16200000">
                      <a:off x="0" y="0"/>
                      <a:ext cx="2327428" cy="3055083"/>
                    </a:xfrm>
                    <a:prstGeom prst="rect">
                      <a:avLst/>
                    </a:prstGeom>
                    <a:noFill/>
                    <a:ln w="9525">
                      <a:noFill/>
                      <a:miter lim="800000"/>
                      <a:headEnd/>
                      <a:tailEnd/>
                    </a:ln>
                  </pic:spPr>
                </pic:pic>
              </a:graphicData>
            </a:graphic>
          </wp:inline>
        </w:drawing>
      </w:r>
    </w:p>
    <w:p w:rsidR="00C6648A" w:rsidRDefault="00C6648A" w:rsidP="00D810E0">
      <w:pPr>
        <w:jc w:val="center"/>
      </w:pPr>
      <w:r>
        <w:t xml:space="preserve">Perfil longitudinal del arroyo </w:t>
      </w:r>
      <w:proofErr w:type="spellStart"/>
      <w:r>
        <w:t>Zaldei</w:t>
      </w:r>
      <w:proofErr w:type="spellEnd"/>
      <w:r>
        <w:t>. T100</w:t>
      </w:r>
    </w:p>
    <w:p w:rsidR="00BA49F2" w:rsidRDefault="00BA49F2" w:rsidP="00BA49F2">
      <w:r>
        <w:t xml:space="preserve">Por otro lado, al analizar los calados y las velocidades de las secciones transversales del arroyo </w:t>
      </w:r>
      <w:proofErr w:type="spellStart"/>
      <w:r>
        <w:t>Zaldei</w:t>
      </w:r>
      <w:proofErr w:type="spellEnd"/>
      <w:r>
        <w:t xml:space="preserve"> existentes dentro de la parcela de estudio, se comprueba que el calado que alcanza la lámina de agua va disminuyendo según nos vamos alejando del cauce del arroyo y que en cualquier caso, la velocidad del agua es prácticamente nula, lo que no hace sino afianzar la idea de que se trata de una zona en la que la </w:t>
      </w:r>
      <w:proofErr w:type="spellStart"/>
      <w:r>
        <w:t>inundabilidad</w:t>
      </w:r>
      <w:proofErr w:type="spellEnd"/>
      <w:r>
        <w:t xml:space="preserve"> está generada por la condición de contorno de desagüe en el río </w:t>
      </w:r>
      <w:proofErr w:type="spellStart"/>
      <w:r>
        <w:t>Ibaizabal</w:t>
      </w:r>
      <w:proofErr w:type="spellEnd"/>
      <w:r>
        <w:t>, que hace que el sector SAPU-R-BIDEONDO se convierta en una “piscina natural”, con agua sin movimiento y sin influencia en el flujo de la avenida.</w:t>
      </w:r>
    </w:p>
    <w:p w:rsidR="00BA49F2" w:rsidRDefault="00BA49F2" w:rsidP="00D810E0">
      <w:pPr>
        <w:jc w:val="center"/>
      </w:pPr>
      <w:r>
        <w:rPr>
          <w:noProof/>
        </w:rPr>
        <w:drawing>
          <wp:inline distT="0" distB="0" distL="0" distR="0">
            <wp:extent cx="3620560" cy="2339788"/>
            <wp:effectExtent l="19050" t="0" r="0" b="0"/>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3627672" cy="2344384"/>
                    </a:xfrm>
                    <a:prstGeom prst="rect">
                      <a:avLst/>
                    </a:prstGeom>
                    <a:noFill/>
                    <a:ln w="9525">
                      <a:noFill/>
                      <a:miter lim="800000"/>
                      <a:headEnd/>
                      <a:tailEnd/>
                    </a:ln>
                  </pic:spPr>
                </pic:pic>
              </a:graphicData>
            </a:graphic>
          </wp:inline>
        </w:drawing>
      </w:r>
    </w:p>
    <w:p w:rsidR="00565AFA" w:rsidRDefault="009C22D9" w:rsidP="00565AFA">
      <w:r>
        <w:t>A la vista de este hecho se comprueba con mayor detalle la</w:t>
      </w:r>
      <w:r w:rsidR="004A793D">
        <w:t xml:space="preserve"> Zona de Flujo Preferente en la parcela de estudio, con el fin de determinar con exactitud el calado de la lámina de agua. </w:t>
      </w:r>
    </w:p>
    <w:p w:rsidR="00565AFA" w:rsidRDefault="00565AFA" w:rsidP="005575A9">
      <w:pPr>
        <w:pStyle w:val="Ttulo3"/>
      </w:pPr>
      <w:bookmarkStart w:id="10" w:name="_Toc441142602"/>
      <w:r>
        <w:lastRenderedPageBreak/>
        <w:t>Caudales</w:t>
      </w:r>
      <w:bookmarkEnd w:id="10"/>
    </w:p>
    <w:p w:rsidR="00565AFA" w:rsidRDefault="00565AFA" w:rsidP="00565AFA">
      <w:r>
        <w:t xml:space="preserve">Los caudales empleados son </w:t>
      </w:r>
      <w:r w:rsidR="005575A9">
        <w:t>que se reflejan</w:t>
      </w:r>
      <w:r>
        <w:t xml:space="preserve"> en el visor de URA</w:t>
      </w:r>
      <w:r w:rsidR="005575A9">
        <w:t>, ya que son los caudales oficiales a emplear y con los que se han obtenido las superficies de inundación y la Zona de Flujo Preferente que sirven de referencia</w:t>
      </w:r>
      <w:r>
        <w:t>.</w:t>
      </w:r>
    </w:p>
    <w:tbl>
      <w:tblPr>
        <w:tblStyle w:val="Tablaconcuadrcula"/>
        <w:tblW w:w="0" w:type="auto"/>
        <w:jc w:val="left"/>
        <w:tblInd w:w="108" w:type="dxa"/>
        <w:tblLook w:val="04A0"/>
      </w:tblPr>
      <w:tblGrid>
        <w:gridCol w:w="1876"/>
        <w:gridCol w:w="1944"/>
        <w:gridCol w:w="1750"/>
        <w:gridCol w:w="2235"/>
      </w:tblGrid>
      <w:tr w:rsidR="00565AFA" w:rsidTr="00D810E0">
        <w:trPr>
          <w:cnfStyle w:val="100000000000"/>
          <w:jc w:val="left"/>
        </w:trPr>
        <w:tc>
          <w:tcPr>
            <w:cnfStyle w:val="001000000000"/>
            <w:tcW w:w="1876" w:type="dxa"/>
            <w:vAlign w:val="center"/>
          </w:tcPr>
          <w:p w:rsidR="00565AFA" w:rsidRDefault="00565AFA" w:rsidP="00565AFA">
            <w:pPr>
              <w:spacing w:before="40" w:after="40" w:line="0" w:lineRule="atLeast"/>
              <w:jc w:val="center"/>
            </w:pPr>
            <w:r w:rsidRPr="00B16DB6">
              <w:rPr>
                <w:rFonts w:ascii="Futura Md BT" w:hAnsi="Futura Md BT"/>
                <w:b w:val="0"/>
              </w:rPr>
              <w:t>Periodo de retorno considerado</w:t>
            </w:r>
          </w:p>
        </w:tc>
        <w:tc>
          <w:tcPr>
            <w:tcW w:w="1944" w:type="dxa"/>
            <w:vAlign w:val="center"/>
          </w:tcPr>
          <w:p w:rsidR="00565AFA" w:rsidRDefault="00565AFA" w:rsidP="00565AFA">
            <w:pPr>
              <w:spacing w:before="40" w:after="40" w:line="0" w:lineRule="atLeast"/>
              <w:jc w:val="center"/>
              <w:cnfStyle w:val="100000000000"/>
            </w:pPr>
            <w:r>
              <w:rPr>
                <w:rFonts w:ascii="Futura Md BT" w:hAnsi="Futura Md BT"/>
                <w:b w:val="0"/>
              </w:rPr>
              <w:t>T-10</w:t>
            </w:r>
          </w:p>
        </w:tc>
        <w:tc>
          <w:tcPr>
            <w:tcW w:w="1750" w:type="dxa"/>
            <w:vAlign w:val="center"/>
          </w:tcPr>
          <w:p w:rsidR="00565AFA" w:rsidRDefault="00565AFA" w:rsidP="00565AFA">
            <w:pPr>
              <w:spacing w:before="40" w:after="40" w:line="0" w:lineRule="atLeast"/>
              <w:jc w:val="center"/>
              <w:cnfStyle w:val="100000000000"/>
            </w:pPr>
            <w:r>
              <w:rPr>
                <w:rFonts w:ascii="Futura Md BT" w:hAnsi="Futura Md BT"/>
                <w:b w:val="0"/>
              </w:rPr>
              <w:t>T-100</w:t>
            </w:r>
          </w:p>
        </w:tc>
        <w:tc>
          <w:tcPr>
            <w:tcW w:w="2235" w:type="dxa"/>
            <w:vAlign w:val="center"/>
          </w:tcPr>
          <w:p w:rsidR="00565AFA" w:rsidRPr="00B16DB6" w:rsidRDefault="00565AFA" w:rsidP="00565AFA">
            <w:pPr>
              <w:spacing w:before="40" w:after="40" w:line="0" w:lineRule="atLeast"/>
              <w:jc w:val="center"/>
              <w:cnfStyle w:val="100000000000"/>
              <w:rPr>
                <w:rFonts w:ascii="Futura Md BT" w:hAnsi="Futura Md BT"/>
                <w:b w:val="0"/>
              </w:rPr>
            </w:pPr>
            <w:r>
              <w:rPr>
                <w:rFonts w:ascii="Futura Md BT" w:hAnsi="Futura Md BT"/>
                <w:b w:val="0"/>
              </w:rPr>
              <w:t>T-500</w:t>
            </w:r>
          </w:p>
        </w:tc>
      </w:tr>
      <w:tr w:rsidR="00565AFA" w:rsidTr="00D810E0">
        <w:trPr>
          <w:jc w:val="left"/>
        </w:trPr>
        <w:tc>
          <w:tcPr>
            <w:cnfStyle w:val="001000000000"/>
            <w:tcW w:w="1876" w:type="dxa"/>
          </w:tcPr>
          <w:p w:rsidR="00565AFA" w:rsidRDefault="00565AFA" w:rsidP="00565AFA">
            <w:pPr>
              <w:spacing w:before="40" w:after="40" w:line="0" w:lineRule="atLeast"/>
              <w:jc w:val="center"/>
            </w:pPr>
            <w:r>
              <w:t>Corta</w:t>
            </w:r>
          </w:p>
        </w:tc>
        <w:tc>
          <w:tcPr>
            <w:tcW w:w="1944" w:type="dxa"/>
          </w:tcPr>
          <w:p w:rsidR="00565AFA" w:rsidRDefault="005575A9" w:rsidP="00565AFA">
            <w:pPr>
              <w:spacing w:before="40" w:after="40" w:line="0" w:lineRule="atLeast"/>
              <w:jc w:val="center"/>
              <w:cnfStyle w:val="000000000000"/>
            </w:pPr>
            <w:r>
              <w:t>0,</w:t>
            </w:r>
            <w:r w:rsidR="00565AFA">
              <w:t>1</w:t>
            </w:r>
          </w:p>
        </w:tc>
        <w:tc>
          <w:tcPr>
            <w:tcW w:w="1750" w:type="dxa"/>
          </w:tcPr>
          <w:p w:rsidR="00565AFA" w:rsidRDefault="005575A9" w:rsidP="00565AFA">
            <w:pPr>
              <w:spacing w:before="40" w:after="40" w:line="0" w:lineRule="atLeast"/>
              <w:jc w:val="center"/>
              <w:cnfStyle w:val="000000000000"/>
            </w:pPr>
            <w:r>
              <w:t>0,</w:t>
            </w:r>
            <w:r w:rsidR="00565AFA">
              <w:t>1</w:t>
            </w:r>
          </w:p>
        </w:tc>
        <w:tc>
          <w:tcPr>
            <w:tcW w:w="2235" w:type="dxa"/>
          </w:tcPr>
          <w:p w:rsidR="00565AFA" w:rsidRDefault="005575A9" w:rsidP="00565AFA">
            <w:pPr>
              <w:spacing w:before="40" w:after="40" w:line="0" w:lineRule="atLeast"/>
              <w:jc w:val="center"/>
              <w:cnfStyle w:val="000000000000"/>
            </w:pPr>
            <w:r>
              <w:t>0,</w:t>
            </w:r>
            <w:r w:rsidR="00565AFA">
              <w:t>1</w:t>
            </w:r>
          </w:p>
        </w:tc>
      </w:tr>
      <w:tr w:rsidR="00565AFA" w:rsidTr="00D810E0">
        <w:trPr>
          <w:jc w:val="left"/>
        </w:trPr>
        <w:tc>
          <w:tcPr>
            <w:cnfStyle w:val="001000000000"/>
            <w:tcW w:w="1876" w:type="dxa"/>
          </w:tcPr>
          <w:p w:rsidR="00565AFA" w:rsidRDefault="00565AFA" w:rsidP="00565AFA">
            <w:pPr>
              <w:spacing w:before="40" w:after="40" w:line="0" w:lineRule="atLeast"/>
              <w:jc w:val="center"/>
            </w:pPr>
            <w:proofErr w:type="spellStart"/>
            <w:r>
              <w:t>Ibaizabal</w:t>
            </w:r>
            <w:proofErr w:type="spellEnd"/>
          </w:p>
        </w:tc>
        <w:tc>
          <w:tcPr>
            <w:tcW w:w="1944" w:type="dxa"/>
          </w:tcPr>
          <w:p w:rsidR="00565AFA" w:rsidRDefault="00565AFA" w:rsidP="00565AFA">
            <w:pPr>
              <w:spacing w:before="40" w:after="40" w:line="0" w:lineRule="atLeast"/>
              <w:jc w:val="center"/>
              <w:cnfStyle w:val="000000000000"/>
            </w:pPr>
            <w:r>
              <w:t>238</w:t>
            </w:r>
          </w:p>
        </w:tc>
        <w:tc>
          <w:tcPr>
            <w:tcW w:w="1750" w:type="dxa"/>
          </w:tcPr>
          <w:p w:rsidR="00565AFA" w:rsidRDefault="00565AFA" w:rsidP="00565AFA">
            <w:pPr>
              <w:spacing w:before="40" w:after="40" w:line="0" w:lineRule="atLeast"/>
              <w:jc w:val="center"/>
              <w:cnfStyle w:val="000000000000"/>
            </w:pPr>
            <w:r>
              <w:t>347</w:t>
            </w:r>
          </w:p>
        </w:tc>
        <w:tc>
          <w:tcPr>
            <w:tcW w:w="2235" w:type="dxa"/>
          </w:tcPr>
          <w:p w:rsidR="00565AFA" w:rsidRDefault="00565AFA" w:rsidP="00565AFA">
            <w:pPr>
              <w:spacing w:before="40" w:after="40" w:line="0" w:lineRule="atLeast"/>
              <w:jc w:val="center"/>
              <w:cnfStyle w:val="000000000000"/>
            </w:pPr>
            <w:r>
              <w:t>456</w:t>
            </w:r>
          </w:p>
        </w:tc>
      </w:tr>
      <w:tr w:rsidR="00565AFA" w:rsidTr="00D810E0">
        <w:trPr>
          <w:jc w:val="left"/>
        </w:trPr>
        <w:tc>
          <w:tcPr>
            <w:cnfStyle w:val="001000000000"/>
            <w:tcW w:w="1876" w:type="dxa"/>
          </w:tcPr>
          <w:p w:rsidR="00565AFA" w:rsidRDefault="00565AFA" w:rsidP="00565AFA">
            <w:pPr>
              <w:spacing w:before="40" w:after="40" w:line="0" w:lineRule="atLeast"/>
              <w:jc w:val="center"/>
            </w:pPr>
            <w:proofErr w:type="spellStart"/>
            <w:r>
              <w:t>Mañaria</w:t>
            </w:r>
            <w:proofErr w:type="spellEnd"/>
          </w:p>
        </w:tc>
        <w:tc>
          <w:tcPr>
            <w:tcW w:w="1944" w:type="dxa"/>
          </w:tcPr>
          <w:p w:rsidR="00565AFA" w:rsidRDefault="00565AFA" w:rsidP="00565AFA">
            <w:pPr>
              <w:spacing w:before="40" w:after="40" w:line="0" w:lineRule="atLeast"/>
              <w:jc w:val="center"/>
              <w:cnfStyle w:val="000000000000"/>
            </w:pPr>
            <w:r>
              <w:t>50</w:t>
            </w:r>
          </w:p>
        </w:tc>
        <w:tc>
          <w:tcPr>
            <w:tcW w:w="1750" w:type="dxa"/>
          </w:tcPr>
          <w:p w:rsidR="00565AFA" w:rsidRDefault="00565AFA" w:rsidP="00565AFA">
            <w:pPr>
              <w:spacing w:before="40" w:after="40" w:line="0" w:lineRule="atLeast"/>
              <w:jc w:val="center"/>
              <w:cnfStyle w:val="000000000000"/>
            </w:pPr>
            <w:r>
              <w:t>95</w:t>
            </w:r>
          </w:p>
        </w:tc>
        <w:tc>
          <w:tcPr>
            <w:tcW w:w="2235" w:type="dxa"/>
          </w:tcPr>
          <w:p w:rsidR="00565AFA" w:rsidRDefault="00565AFA" w:rsidP="00565AFA">
            <w:pPr>
              <w:spacing w:before="40" w:after="40" w:line="0" w:lineRule="atLeast"/>
              <w:jc w:val="center"/>
              <w:cnfStyle w:val="000000000000"/>
            </w:pPr>
            <w:r>
              <w:t>145</w:t>
            </w:r>
          </w:p>
        </w:tc>
      </w:tr>
      <w:tr w:rsidR="00565AFA" w:rsidTr="00D810E0">
        <w:trPr>
          <w:jc w:val="left"/>
        </w:trPr>
        <w:tc>
          <w:tcPr>
            <w:cnfStyle w:val="001000000000"/>
            <w:tcW w:w="1876" w:type="dxa"/>
          </w:tcPr>
          <w:p w:rsidR="00565AFA" w:rsidRDefault="00565AFA" w:rsidP="00565AFA">
            <w:pPr>
              <w:spacing w:before="40" w:after="40" w:line="0" w:lineRule="atLeast"/>
              <w:jc w:val="center"/>
            </w:pPr>
            <w:proofErr w:type="spellStart"/>
            <w:r>
              <w:t>Zaldei</w:t>
            </w:r>
            <w:proofErr w:type="spellEnd"/>
          </w:p>
        </w:tc>
        <w:tc>
          <w:tcPr>
            <w:tcW w:w="1944" w:type="dxa"/>
          </w:tcPr>
          <w:p w:rsidR="00565AFA" w:rsidRDefault="00565AFA" w:rsidP="00565AFA">
            <w:pPr>
              <w:spacing w:before="40" w:after="40" w:line="0" w:lineRule="atLeast"/>
              <w:jc w:val="center"/>
              <w:cnfStyle w:val="000000000000"/>
            </w:pPr>
            <w:r>
              <w:t>17</w:t>
            </w:r>
          </w:p>
        </w:tc>
        <w:tc>
          <w:tcPr>
            <w:tcW w:w="1750" w:type="dxa"/>
          </w:tcPr>
          <w:p w:rsidR="00565AFA" w:rsidRDefault="00565AFA" w:rsidP="00565AFA">
            <w:pPr>
              <w:spacing w:before="40" w:after="40" w:line="0" w:lineRule="atLeast"/>
              <w:jc w:val="center"/>
              <w:cnfStyle w:val="000000000000"/>
            </w:pPr>
            <w:r>
              <w:t>30</w:t>
            </w:r>
          </w:p>
        </w:tc>
        <w:tc>
          <w:tcPr>
            <w:tcW w:w="2235" w:type="dxa"/>
          </w:tcPr>
          <w:p w:rsidR="00565AFA" w:rsidRDefault="00565AFA" w:rsidP="00565AFA">
            <w:pPr>
              <w:spacing w:before="40" w:after="40" w:line="0" w:lineRule="atLeast"/>
              <w:jc w:val="center"/>
              <w:cnfStyle w:val="000000000000"/>
            </w:pPr>
            <w:r>
              <w:t>44</w:t>
            </w:r>
          </w:p>
        </w:tc>
      </w:tr>
    </w:tbl>
    <w:p w:rsidR="00C6648A" w:rsidRDefault="00C6648A" w:rsidP="00C6648A">
      <w:pPr>
        <w:pStyle w:val="Titulodetabla"/>
      </w:pPr>
      <w:r>
        <w:t>Caudales empleados en la modelización hidráulica</w:t>
      </w:r>
    </w:p>
    <w:p w:rsidR="00565AFA" w:rsidRDefault="0014465C" w:rsidP="0014465C">
      <w:pPr>
        <w:pStyle w:val="Ttulo3"/>
      </w:pPr>
      <w:bookmarkStart w:id="11" w:name="_Toc441142603"/>
      <w:r>
        <w:t>Análisis de la afección de la avenida de 100 años de periodo de retorno al SAPU-R-BIDEONDO</w:t>
      </w:r>
      <w:bookmarkEnd w:id="11"/>
    </w:p>
    <w:p w:rsidR="0014465C" w:rsidRDefault="00011E41" w:rsidP="0014465C">
      <w:r>
        <w:t xml:space="preserve">Como puede verse en la siguiente imagen, obtenida directamente del visor de </w:t>
      </w:r>
      <w:proofErr w:type="spellStart"/>
      <w:r>
        <w:t>Ura</w:t>
      </w:r>
      <w:proofErr w:type="spellEnd"/>
      <w:r>
        <w:t xml:space="preserve">, los perfiles transversales empleados en el modelo hidráulico que definen la </w:t>
      </w:r>
      <w:proofErr w:type="spellStart"/>
      <w:r>
        <w:t>inundabilidad</w:t>
      </w:r>
      <w:proofErr w:type="spellEnd"/>
      <w:r>
        <w:t xml:space="preserve"> en el SAPU-R-BIDEONDO, son el 6.476,012, el 6.588,007, el 6.675,898 y el 6.688,85 correspondientes al río </w:t>
      </w:r>
      <w:proofErr w:type="spellStart"/>
      <w:r>
        <w:t>Ibaizabal</w:t>
      </w:r>
      <w:proofErr w:type="spellEnd"/>
      <w:r>
        <w:t xml:space="preserve"> y el 10,5931 y el 43,9244 correspondientes al arroyo </w:t>
      </w:r>
      <w:proofErr w:type="spellStart"/>
      <w:r>
        <w:t>Zaldei</w:t>
      </w:r>
      <w:proofErr w:type="spellEnd"/>
      <w:r>
        <w:t>.</w:t>
      </w:r>
    </w:p>
    <w:p w:rsidR="00011E41" w:rsidRDefault="00FF7770" w:rsidP="00011E41">
      <w:pPr>
        <w:jc w:val="center"/>
      </w:pPr>
      <w:r>
        <w:rPr>
          <w:noProof/>
        </w:rPr>
        <w:pict>
          <v:shapetype id="_x0000_t32" coordsize="21600,21600" o:spt="32" o:oned="t" path="m,l21600,21600e" filled="f">
            <v:path arrowok="t" fillok="f" o:connecttype="none"/>
            <o:lock v:ext="edit" shapetype="t"/>
          </v:shapetype>
          <v:shape id="_x0000_s1207" type="#_x0000_t32" style="position:absolute;left:0;text-align:left;margin-left:209.25pt;margin-top:53.2pt;width:8.25pt;height:23.4pt;flip:x;z-index:251719680" o:connectortype="straight">
            <v:stroke endarrow="block"/>
          </v:shape>
        </w:pict>
      </w:r>
      <w:r>
        <w:rPr>
          <w:noProof/>
        </w:rPr>
        <w:pict>
          <v:shapetype id="_x0000_t202" coordsize="21600,21600" o:spt="202" path="m,l,21600r21600,l21600,xe">
            <v:stroke joinstyle="miter"/>
            <v:path gradientshapeok="t" o:connecttype="rect"/>
          </v:shapetype>
          <v:shape id="_x0000_s1201" type="#_x0000_t202" style="position:absolute;left:0;text-align:left;margin-left:192pt;margin-top:31.45pt;width:57.75pt;height:21.75pt;z-index:251713536" fillcolor="#0070c0">
            <v:fill opacity=".5"/>
            <v:textbox>
              <w:txbxContent>
                <w:p w:rsidR="00ED7DC7" w:rsidRDefault="00ED7DC7">
                  <w:r>
                    <w:t>10,5931</w:t>
                  </w:r>
                </w:p>
              </w:txbxContent>
            </v:textbox>
          </v:shape>
        </w:pict>
      </w:r>
      <w:r>
        <w:rPr>
          <w:noProof/>
        </w:rPr>
        <w:pict>
          <v:shape id="_x0000_s1202" type="#_x0000_t202" style="position:absolute;left:0;text-align:left;margin-left:241.5pt;margin-top:104.35pt;width:58.5pt;height:22.9pt;z-index:251714560" fillcolor="#0070c0">
            <v:fill opacity=".5"/>
            <v:textbox>
              <w:txbxContent>
                <w:p w:rsidR="00ED7DC7" w:rsidRDefault="00ED7DC7">
                  <w:r>
                    <w:t>43,9244</w:t>
                  </w:r>
                </w:p>
                <w:p w:rsidR="00ED7DC7" w:rsidRDefault="00ED7DC7"/>
              </w:txbxContent>
            </v:textbox>
          </v:shape>
        </w:pict>
      </w:r>
      <w:r>
        <w:rPr>
          <w:noProof/>
        </w:rPr>
        <w:pict>
          <v:shape id="_x0000_s1199" type="#_x0000_t202" style="position:absolute;left:0;text-align:left;margin-left:185.25pt;margin-top:204.85pt;width:64.5pt;height:22.5pt;z-index:251711488" fillcolor="yellow">
            <v:fill opacity=".5"/>
            <v:textbox>
              <w:txbxContent>
                <w:p w:rsidR="00ED7DC7" w:rsidRDefault="00ED7DC7">
                  <w:r>
                    <w:t>6.675,898</w:t>
                  </w:r>
                </w:p>
              </w:txbxContent>
            </v:textbox>
          </v:shape>
        </w:pict>
      </w:r>
      <w:r>
        <w:rPr>
          <w:noProof/>
        </w:rPr>
        <w:pict>
          <v:shape id="_x0000_s1197" type="#_x0000_t202" style="position:absolute;left:0;text-align:left;margin-left:5.4pt;margin-top:137.2pt;width:66.75pt;height:22.65pt;z-index:251709440" fillcolor="yellow">
            <v:fill opacity=".5"/>
            <v:textbox style="mso-next-textbox:#_x0000_s1197">
              <w:txbxContent>
                <w:p w:rsidR="00ED7DC7" w:rsidRDefault="00ED7DC7">
                  <w:r>
                    <w:t>6.476,012</w:t>
                  </w:r>
                </w:p>
              </w:txbxContent>
            </v:textbox>
          </v:shape>
        </w:pict>
      </w:r>
      <w:r>
        <w:rPr>
          <w:noProof/>
        </w:rPr>
        <w:pict>
          <v:shape id="_x0000_s1208" type="#_x0000_t32" style="position:absolute;left:0;text-align:left;margin-left:217.5pt;margin-top:92.35pt;width:24pt;height:20.25pt;flip:x y;z-index:251720704" o:connectortype="straight">
            <v:stroke endarrow="block"/>
          </v:shape>
        </w:pict>
      </w:r>
      <w:r>
        <w:rPr>
          <w:noProof/>
        </w:rPr>
        <w:pict>
          <v:shape id="_x0000_s1206" type="#_x0000_t32" style="position:absolute;left:0;text-align:left;margin-left:217.5pt;margin-top:156.1pt;width:16.5pt;height:3.75pt;flip:x y;z-index:251718656" o:connectortype="straight">
            <v:stroke endarrow="block"/>
          </v:shape>
        </w:pict>
      </w:r>
      <w:r>
        <w:rPr>
          <w:noProof/>
        </w:rPr>
        <w:pict>
          <v:shape id="_x0000_s1200" type="#_x0000_t202" style="position:absolute;left:0;text-align:left;margin-left:234pt;margin-top:151.6pt;width:59.25pt;height:21.75pt;z-index:251712512" fillcolor="yellow">
            <v:fill opacity=".5"/>
            <v:textbox>
              <w:txbxContent>
                <w:p w:rsidR="00ED7DC7" w:rsidRDefault="00ED7DC7">
                  <w:r>
                    <w:t>6.688,85</w:t>
                  </w:r>
                </w:p>
              </w:txbxContent>
            </v:textbox>
          </v:shape>
        </w:pict>
      </w:r>
      <w:r>
        <w:rPr>
          <w:noProof/>
        </w:rPr>
        <w:pict>
          <v:shape id="_x0000_s1205" type="#_x0000_t32" style="position:absolute;left:0;text-align:left;margin-left:200.25pt;margin-top:168.1pt;width:9pt;height:36.75pt;flip:y;z-index:251717632" o:connectortype="straight">
            <v:stroke endarrow="block"/>
          </v:shape>
        </w:pict>
      </w:r>
      <w:r>
        <w:rPr>
          <w:noProof/>
        </w:rPr>
        <w:pict>
          <v:shape id="_x0000_s1204" type="#_x0000_t32" style="position:absolute;left:0;text-align:left;margin-left:89.25pt;margin-top:56.35pt;width:9.75pt;height:25.5pt;flip:x;z-index:251716608" o:connectortype="straight">
            <v:stroke endarrow="block"/>
          </v:shape>
        </w:pict>
      </w:r>
      <w:r>
        <w:rPr>
          <w:noProof/>
        </w:rPr>
        <w:pict>
          <v:shape id="_x0000_s1203" type="#_x0000_t32" style="position:absolute;left:0;text-align:left;margin-left:44.25pt;margin-top:123.85pt;width:21.75pt;height:13.5pt;flip:y;z-index:251715584" o:connectortype="straight">
            <v:stroke endarrow="block"/>
          </v:shape>
        </w:pict>
      </w:r>
      <w:r>
        <w:rPr>
          <w:noProof/>
        </w:rPr>
        <w:pict>
          <v:shape id="_x0000_s1198" type="#_x0000_t202" style="position:absolute;left:0;text-align:left;margin-left:66pt;margin-top:35.35pt;width:69pt;height:21pt;z-index:251710464" fillcolor="yellow">
            <v:fill opacity=".5"/>
            <v:textbox>
              <w:txbxContent>
                <w:p w:rsidR="00ED7DC7" w:rsidRDefault="00ED7DC7">
                  <w:r>
                    <w:t>6.588,007</w:t>
                  </w:r>
                </w:p>
              </w:txbxContent>
            </v:textbox>
          </v:shape>
        </w:pict>
      </w:r>
      <w:r w:rsidR="00011E41">
        <w:rPr>
          <w:noProof/>
        </w:rPr>
        <w:drawing>
          <wp:inline distT="0" distB="0" distL="0" distR="0">
            <wp:extent cx="4057650" cy="3177316"/>
            <wp:effectExtent l="19050" t="0" r="0" b="0"/>
            <wp:docPr id="2" name="1 Imagen" descr="sapu vis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pu visor.jpg"/>
                    <pic:cNvPicPr/>
                  </pic:nvPicPr>
                  <pic:blipFill>
                    <a:blip r:embed="rId19" cstate="print"/>
                    <a:stretch>
                      <a:fillRect/>
                    </a:stretch>
                  </pic:blipFill>
                  <pic:spPr>
                    <a:xfrm>
                      <a:off x="0" y="0"/>
                      <a:ext cx="4057942" cy="3177545"/>
                    </a:xfrm>
                    <a:prstGeom prst="rect">
                      <a:avLst/>
                    </a:prstGeom>
                  </pic:spPr>
                </pic:pic>
              </a:graphicData>
            </a:graphic>
          </wp:inline>
        </w:drawing>
      </w:r>
    </w:p>
    <w:p w:rsidR="00C6648A" w:rsidRDefault="00C6648A" w:rsidP="00C6648A">
      <w:pPr>
        <w:pStyle w:val="Titulodefigura"/>
      </w:pPr>
      <w:r>
        <w:t>Situación de perfiles transversales en el ámbito de estudio</w:t>
      </w:r>
    </w:p>
    <w:p w:rsidR="00D810E0" w:rsidRDefault="00D810E0" w:rsidP="008A20B2"/>
    <w:p w:rsidR="008A20B2" w:rsidRDefault="008A20B2" w:rsidP="008A20B2">
      <w:r>
        <w:lastRenderedPageBreak/>
        <w:t>Analizando detalladamente cada uno de ellos</w:t>
      </w:r>
      <w:r w:rsidR="005E2CBE">
        <w:t xml:space="preserve"> en el modelo hidráulico</w:t>
      </w:r>
      <w:r>
        <w:t>, se puede comprobar lo siguiente:</w:t>
      </w:r>
    </w:p>
    <w:p w:rsidR="008A20B2" w:rsidRDefault="008A20B2" w:rsidP="008A20B2">
      <w:pPr>
        <w:pStyle w:val="Sangra1"/>
      </w:pPr>
      <w:r>
        <w:t xml:space="preserve">Perfil </w:t>
      </w:r>
      <w:r w:rsidRPr="008A20B2">
        <w:rPr>
          <w:rFonts w:ascii="Futura Md BT" w:hAnsi="Futura Md BT"/>
        </w:rPr>
        <w:t>43,9244</w:t>
      </w:r>
      <w:r>
        <w:t xml:space="preserve"> del arroyo </w:t>
      </w:r>
      <w:proofErr w:type="spellStart"/>
      <w:r>
        <w:t>Zaldei</w:t>
      </w:r>
      <w:proofErr w:type="spellEnd"/>
      <w:r>
        <w:t>:</w:t>
      </w:r>
    </w:p>
    <w:p w:rsidR="005E2CBE" w:rsidRDefault="005E2CBE" w:rsidP="005E2CBE">
      <w:pPr>
        <w:pStyle w:val="Sangra1"/>
        <w:numPr>
          <w:ilvl w:val="0"/>
          <w:numId w:val="0"/>
        </w:numPr>
        <w:ind w:left="340"/>
      </w:pPr>
      <w:r>
        <w:t xml:space="preserve">La cota de la lámina de agua correspondiente a la lámina de 100 años de periodo de retorno en el perfil 43,9244 del arroyo </w:t>
      </w:r>
      <w:proofErr w:type="spellStart"/>
      <w:r>
        <w:t>Zaldei</w:t>
      </w:r>
      <w:proofErr w:type="spellEnd"/>
      <w:r>
        <w:t xml:space="preserve"> es de 108,57 metros.</w:t>
      </w:r>
    </w:p>
    <w:p w:rsidR="005E2CBE" w:rsidRPr="0014465C" w:rsidRDefault="005E2CBE" w:rsidP="005E2CBE">
      <w:pPr>
        <w:pStyle w:val="Sangra1"/>
        <w:numPr>
          <w:ilvl w:val="0"/>
          <w:numId w:val="0"/>
        </w:numPr>
        <w:ind w:left="340"/>
      </w:pPr>
      <w:r>
        <w:t>En la zona correspondiente al SAPU-R-BIDEONDO, la cota mínima que presenta el terreno es de 107,60 metros, por lo tanto, el calado máximo de la lámina de agua en la parcela de estudio es de 97 centímetros, es decir, inferior a un metro de altura.</w:t>
      </w:r>
    </w:p>
    <w:p w:rsidR="00565AFA" w:rsidRDefault="00565AFA" w:rsidP="00565AFA"/>
    <w:p w:rsidR="00565AFA" w:rsidRDefault="00FF7770" w:rsidP="00565AFA">
      <w:r>
        <w:rPr>
          <w:noProof/>
        </w:rPr>
        <w:pict>
          <v:rect id="_x0000_s1211" style="position:absolute;margin-left:283.15pt;margin-top:45.95pt;width:58.5pt;height:146.25pt;z-index:251722752" fillcolor="#c00000" strokecolor="#c00000">
            <v:fill opacity=".25"/>
          </v:rect>
        </w:pict>
      </w:r>
      <w:r w:rsidR="008A20B2">
        <w:rPr>
          <w:noProof/>
        </w:rPr>
        <w:drawing>
          <wp:inline distT="0" distB="0" distL="0" distR="0">
            <wp:extent cx="5400040" cy="3147695"/>
            <wp:effectExtent l="19050" t="0" r="0" b="0"/>
            <wp:docPr id="3"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0" cstate="print"/>
                    <a:stretch>
                      <a:fillRect/>
                    </a:stretch>
                  </pic:blipFill>
                  <pic:spPr>
                    <a:xfrm>
                      <a:off x="0" y="0"/>
                      <a:ext cx="5400040" cy="3147695"/>
                    </a:xfrm>
                    <a:prstGeom prst="rect">
                      <a:avLst/>
                    </a:prstGeom>
                  </pic:spPr>
                </pic:pic>
              </a:graphicData>
            </a:graphic>
          </wp:inline>
        </w:drawing>
      </w:r>
    </w:p>
    <w:p w:rsidR="00C6648A" w:rsidRDefault="00C6648A" w:rsidP="00C6648A">
      <w:pPr>
        <w:pStyle w:val="Titulodefigura"/>
      </w:pPr>
      <w:r>
        <w:t>Perfil 43,9244</w:t>
      </w:r>
    </w:p>
    <w:p w:rsidR="0076511D" w:rsidRDefault="005E2CBE" w:rsidP="00D021E6">
      <w:pPr>
        <w:pStyle w:val="Sangra1"/>
        <w:numPr>
          <w:ilvl w:val="0"/>
          <w:numId w:val="0"/>
        </w:numPr>
        <w:ind w:left="340"/>
      </w:pPr>
      <w:r>
        <w:t>Por su lado, la velocidad del agua durante un episodio de avenida correspondiente a 100 años de periodo de retorno en la parcela es de 0,11 m/s; el agua está prácticamente parada, su velocidad es muy inferior a 1 m/s.</w:t>
      </w:r>
    </w:p>
    <w:p w:rsidR="005E2CBE" w:rsidRPr="00A867FC" w:rsidRDefault="00A867FC" w:rsidP="00D021E6">
      <w:pPr>
        <w:pStyle w:val="Sangra1"/>
        <w:numPr>
          <w:ilvl w:val="0"/>
          <w:numId w:val="0"/>
        </w:numPr>
        <w:ind w:left="340"/>
      </w:pPr>
      <w:r>
        <w:t>Como se puede comprobar, el producto de ambos es igual a 0,1067 m</w:t>
      </w:r>
      <w:r>
        <w:rPr>
          <w:vertAlign w:val="superscript"/>
        </w:rPr>
        <w:t>2</w:t>
      </w:r>
      <w:r>
        <w:t>/s, muy por debajo del límite de 0,50 m</w:t>
      </w:r>
      <w:r>
        <w:rPr>
          <w:vertAlign w:val="superscript"/>
        </w:rPr>
        <w:t>2</w:t>
      </w:r>
      <w:r>
        <w:t>/s establecido para definir la Zona de Inundación Peligrosa.</w:t>
      </w:r>
    </w:p>
    <w:p w:rsidR="008A20B2" w:rsidRDefault="00A867FC" w:rsidP="00D021E6">
      <w:pPr>
        <w:pStyle w:val="Sangra1"/>
        <w:numPr>
          <w:ilvl w:val="0"/>
          <w:numId w:val="0"/>
        </w:numPr>
        <w:ind w:left="340"/>
      </w:pPr>
      <w:r>
        <w:t>Por lo tanto, revisando detalladamente el perfil, parece que la Zona de Flujo Preferente en él no debería afectar a la parcela de estudio.</w:t>
      </w:r>
    </w:p>
    <w:p w:rsidR="00C6648A" w:rsidRDefault="00C6648A" w:rsidP="00D021E6">
      <w:pPr>
        <w:pStyle w:val="Sangra1"/>
        <w:numPr>
          <w:ilvl w:val="0"/>
          <w:numId w:val="0"/>
        </w:numPr>
        <w:ind w:left="340"/>
      </w:pPr>
    </w:p>
    <w:p w:rsidR="004A2A01" w:rsidRPr="0014465C" w:rsidRDefault="004A2A01" w:rsidP="004A2A01">
      <w:pPr>
        <w:pStyle w:val="Sangra1"/>
      </w:pPr>
      <w:r>
        <w:t xml:space="preserve">Perfil </w:t>
      </w:r>
      <w:r>
        <w:rPr>
          <w:rFonts w:ascii="Futura Md BT" w:hAnsi="Futura Md BT"/>
        </w:rPr>
        <w:t>10,5931</w:t>
      </w:r>
      <w:r w:rsidR="00D467D3">
        <w:t xml:space="preserve"> </w:t>
      </w:r>
      <w:r>
        <w:t xml:space="preserve">del arroyo </w:t>
      </w:r>
      <w:proofErr w:type="spellStart"/>
      <w:r>
        <w:t>Zaldei</w:t>
      </w:r>
      <w:proofErr w:type="spellEnd"/>
      <w:r>
        <w:t>:</w:t>
      </w:r>
    </w:p>
    <w:p w:rsidR="00A867FC" w:rsidRPr="0014465C" w:rsidRDefault="00A867FC" w:rsidP="00A867FC">
      <w:pPr>
        <w:pStyle w:val="Sangra1"/>
        <w:numPr>
          <w:ilvl w:val="0"/>
          <w:numId w:val="0"/>
        </w:numPr>
        <w:ind w:left="340"/>
      </w:pPr>
      <w:r>
        <w:t xml:space="preserve">La cota de la lámina de agua correspondiente a la lámina de 100 años de periodo de retorno en el perfil 10,5931 del arroyo </w:t>
      </w:r>
      <w:proofErr w:type="spellStart"/>
      <w:r>
        <w:t>Zaldei</w:t>
      </w:r>
      <w:proofErr w:type="spellEnd"/>
      <w:r>
        <w:t xml:space="preserve"> es de 107,64 metros, siendo la cota mínima que presenta el terreno en la parcela objeto del presente estudio de 108,55 metros, por lo </w:t>
      </w:r>
      <w:r>
        <w:lastRenderedPageBreak/>
        <w:t>tanto, el calado máximo de la lámina de agua en la parcela es de 91 centímetros, es decir, inferior nuevamente a un metro de altura.</w:t>
      </w:r>
    </w:p>
    <w:p w:rsidR="004A2A01" w:rsidRDefault="004A2A01" w:rsidP="00A867FC">
      <w:pPr>
        <w:pStyle w:val="Sangra1"/>
        <w:numPr>
          <w:ilvl w:val="0"/>
          <w:numId w:val="0"/>
        </w:numPr>
        <w:ind w:left="340"/>
      </w:pPr>
    </w:p>
    <w:p w:rsidR="004A2A01" w:rsidRDefault="00FF7770" w:rsidP="004A2A01">
      <w:r>
        <w:rPr>
          <w:noProof/>
        </w:rPr>
        <w:pict>
          <v:rect id="_x0000_s1210" style="position:absolute;margin-left:264.75pt;margin-top:79.1pt;width:53.25pt;height:92.25pt;z-index:251721728" fillcolor="#c00000" strokecolor="#c00000">
            <v:fill opacity=".25"/>
          </v:rect>
        </w:pict>
      </w:r>
      <w:r w:rsidR="004A2A01">
        <w:rPr>
          <w:noProof/>
        </w:rPr>
        <w:drawing>
          <wp:inline distT="0" distB="0" distL="0" distR="0">
            <wp:extent cx="5486400" cy="3198254"/>
            <wp:effectExtent l="19050" t="0" r="0" b="0"/>
            <wp:docPr id="5"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1" cstate="print"/>
                    <a:stretch>
                      <a:fillRect/>
                    </a:stretch>
                  </pic:blipFill>
                  <pic:spPr>
                    <a:xfrm>
                      <a:off x="0" y="0"/>
                      <a:ext cx="5494159" cy="3202777"/>
                    </a:xfrm>
                    <a:prstGeom prst="rect">
                      <a:avLst/>
                    </a:prstGeom>
                  </pic:spPr>
                </pic:pic>
              </a:graphicData>
            </a:graphic>
          </wp:inline>
        </w:drawing>
      </w:r>
    </w:p>
    <w:p w:rsidR="00C6648A" w:rsidRDefault="00C6648A" w:rsidP="004A2A01">
      <w:pPr>
        <w:pStyle w:val="Titulodefigura"/>
      </w:pPr>
      <w:r>
        <w:t>Perfil 10,5931</w:t>
      </w:r>
    </w:p>
    <w:p w:rsidR="00A867FC" w:rsidRPr="00A867FC" w:rsidRDefault="00A867FC" w:rsidP="00D021E6">
      <w:pPr>
        <w:pStyle w:val="Sangra1"/>
        <w:numPr>
          <w:ilvl w:val="0"/>
          <w:numId w:val="0"/>
        </w:numPr>
        <w:ind w:left="340"/>
      </w:pPr>
      <w:r>
        <w:t>La velocidad del agua para la avenida de 100 años de periodo de retorno en la parcela es de 0,08 m/s y el producto de ambos (calado x velocidad) es igual a 0,0728 m</w:t>
      </w:r>
      <w:r>
        <w:rPr>
          <w:vertAlign w:val="superscript"/>
        </w:rPr>
        <w:t>2</w:t>
      </w:r>
      <w:r>
        <w:t>/s, también muy por debajo del límite de 0,50 m</w:t>
      </w:r>
      <w:r>
        <w:rPr>
          <w:vertAlign w:val="superscript"/>
        </w:rPr>
        <w:t>2</w:t>
      </w:r>
      <w:r>
        <w:t>/s establecido para definir la Zona de Inundación Peligrosa.</w:t>
      </w:r>
    </w:p>
    <w:p w:rsidR="004A2A01" w:rsidRDefault="00A867FC" w:rsidP="00D021E6">
      <w:pPr>
        <w:pStyle w:val="Sangra1"/>
        <w:numPr>
          <w:ilvl w:val="0"/>
          <w:numId w:val="0"/>
        </w:numPr>
        <w:ind w:left="340"/>
      </w:pPr>
      <w:r>
        <w:t>Por lo tanto, nuevamente parece que la Zona de Flujo Preferente en dicho perfil no debería a</w:t>
      </w:r>
      <w:r w:rsidR="00D021E6">
        <w:t>fectar a la parcela de estudio.</w:t>
      </w:r>
    </w:p>
    <w:p w:rsidR="00C6648A" w:rsidRDefault="00C6648A" w:rsidP="00D021E6">
      <w:pPr>
        <w:pStyle w:val="Sangra1"/>
        <w:numPr>
          <w:ilvl w:val="0"/>
          <w:numId w:val="0"/>
        </w:numPr>
        <w:ind w:left="340"/>
      </w:pPr>
    </w:p>
    <w:p w:rsidR="004A2A01" w:rsidRPr="0014465C" w:rsidRDefault="004A2A01" w:rsidP="004A2A01">
      <w:pPr>
        <w:pStyle w:val="Sangra1"/>
      </w:pPr>
      <w:r>
        <w:t xml:space="preserve">Perfil </w:t>
      </w:r>
      <w:r>
        <w:rPr>
          <w:rFonts w:ascii="Futura Md BT" w:hAnsi="Futura Md BT"/>
        </w:rPr>
        <w:t>6.688,85</w:t>
      </w:r>
      <w:r>
        <w:t xml:space="preserve"> del río </w:t>
      </w:r>
      <w:proofErr w:type="spellStart"/>
      <w:r>
        <w:t>Ibaizabal</w:t>
      </w:r>
      <w:proofErr w:type="spellEnd"/>
      <w:r>
        <w:t>:</w:t>
      </w:r>
    </w:p>
    <w:p w:rsidR="004A2A01" w:rsidRDefault="00380821" w:rsidP="00380821">
      <w:pPr>
        <w:pStyle w:val="Sangra1"/>
        <w:numPr>
          <w:ilvl w:val="0"/>
          <w:numId w:val="0"/>
        </w:numPr>
        <w:ind w:left="340"/>
      </w:pPr>
      <w:r>
        <w:t xml:space="preserve">En el caso del perfil 6.688,85 del río </w:t>
      </w:r>
      <w:proofErr w:type="spellStart"/>
      <w:r>
        <w:t>Ibaizabal</w:t>
      </w:r>
      <w:proofErr w:type="spellEnd"/>
      <w:r>
        <w:t>, la cota de la lámina de agua correspondiente a la avenida de 100 años de periodo de retorno es 107,48 metros, mientras que el punto de terreno más bajo presenta una cota de 108,09 metros, es decir, el calado máximo es de 0,61 metros. La velocidad en la zona de la parcela de estudio es de 0,20 m/s, y el producto de ambos (calado x velocidad) es de 0,122.</w:t>
      </w:r>
    </w:p>
    <w:p w:rsidR="004A2A01" w:rsidRDefault="004A2A01" w:rsidP="00D810E0">
      <w:pPr>
        <w:jc w:val="center"/>
      </w:pPr>
      <w:r>
        <w:rPr>
          <w:noProof/>
        </w:rPr>
        <w:lastRenderedPageBreak/>
        <w:drawing>
          <wp:inline distT="0" distB="0" distL="0" distR="0">
            <wp:extent cx="5328000" cy="3097856"/>
            <wp:effectExtent l="19050" t="0" r="6000" b="0"/>
            <wp:docPr id="6"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2" cstate="print"/>
                    <a:stretch>
                      <a:fillRect/>
                    </a:stretch>
                  </pic:blipFill>
                  <pic:spPr>
                    <a:xfrm>
                      <a:off x="0" y="0"/>
                      <a:ext cx="5328000" cy="3097856"/>
                    </a:xfrm>
                    <a:prstGeom prst="rect">
                      <a:avLst/>
                    </a:prstGeom>
                  </pic:spPr>
                </pic:pic>
              </a:graphicData>
            </a:graphic>
          </wp:inline>
        </w:drawing>
      </w:r>
    </w:p>
    <w:p w:rsidR="00C6648A" w:rsidRDefault="00C6648A" w:rsidP="004A2A01">
      <w:pPr>
        <w:pStyle w:val="Titulodefigura"/>
      </w:pPr>
      <w:r>
        <w:t>Perfil 6.688,85</w:t>
      </w:r>
    </w:p>
    <w:p w:rsidR="004A2A01" w:rsidRDefault="004A2A01" w:rsidP="004A2A01">
      <w:pPr>
        <w:pStyle w:val="Sangra1"/>
      </w:pPr>
      <w:r>
        <w:t xml:space="preserve">Perfil </w:t>
      </w:r>
      <w:r>
        <w:rPr>
          <w:rFonts w:ascii="Futura Md BT" w:hAnsi="Futura Md BT"/>
        </w:rPr>
        <w:t>6.675,898</w:t>
      </w:r>
      <w:r>
        <w:t xml:space="preserve"> del río </w:t>
      </w:r>
      <w:proofErr w:type="spellStart"/>
      <w:r>
        <w:t>Ibaizabal</w:t>
      </w:r>
      <w:proofErr w:type="spellEnd"/>
      <w:r>
        <w:t>:</w:t>
      </w:r>
    </w:p>
    <w:p w:rsidR="00D021E6" w:rsidRPr="0014465C" w:rsidRDefault="00D021E6" w:rsidP="00D021E6">
      <w:pPr>
        <w:pStyle w:val="Sangra1"/>
        <w:numPr>
          <w:ilvl w:val="0"/>
          <w:numId w:val="0"/>
        </w:numPr>
        <w:ind w:left="340"/>
      </w:pPr>
      <w:r>
        <w:t xml:space="preserve">Como se puede observar, la lámina de agua correspondiente a la avenida de 100 años de periodo de retorno no afecta a la parcela del SAPU-R-BIDEONDO en el perfil 6.675,898 del río </w:t>
      </w:r>
      <w:proofErr w:type="spellStart"/>
      <w:r>
        <w:t>Ibaizabal</w:t>
      </w:r>
      <w:proofErr w:type="spellEnd"/>
      <w:r>
        <w:t>.</w:t>
      </w:r>
    </w:p>
    <w:p w:rsidR="004A2A01" w:rsidRDefault="004A2A01" w:rsidP="00D810E0">
      <w:pPr>
        <w:jc w:val="center"/>
      </w:pPr>
      <w:r>
        <w:rPr>
          <w:noProof/>
        </w:rPr>
        <w:drawing>
          <wp:inline distT="0" distB="0" distL="0" distR="0">
            <wp:extent cx="5328000" cy="3097856"/>
            <wp:effectExtent l="19050" t="0" r="6000" b="0"/>
            <wp:docPr id="7"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3" cstate="print"/>
                    <a:stretch>
                      <a:fillRect/>
                    </a:stretch>
                  </pic:blipFill>
                  <pic:spPr>
                    <a:xfrm>
                      <a:off x="0" y="0"/>
                      <a:ext cx="5328000" cy="3097856"/>
                    </a:xfrm>
                    <a:prstGeom prst="rect">
                      <a:avLst/>
                    </a:prstGeom>
                  </pic:spPr>
                </pic:pic>
              </a:graphicData>
            </a:graphic>
          </wp:inline>
        </w:drawing>
      </w:r>
    </w:p>
    <w:p w:rsidR="004A2A01" w:rsidRDefault="007A6B58" w:rsidP="004A2A01">
      <w:pPr>
        <w:pStyle w:val="Titulodefigura"/>
      </w:pPr>
      <w:r>
        <w:t>Perfil 6.675,898</w:t>
      </w:r>
    </w:p>
    <w:p w:rsidR="00D810E0" w:rsidRPr="00D810E0" w:rsidRDefault="00D810E0" w:rsidP="00D810E0">
      <w:pPr>
        <w:rPr>
          <w:lang w:val="es-ES_tradnl"/>
        </w:rPr>
      </w:pPr>
    </w:p>
    <w:p w:rsidR="004A2A01" w:rsidRDefault="004A2A01" w:rsidP="004A2A01">
      <w:pPr>
        <w:pStyle w:val="Sangra1"/>
      </w:pPr>
      <w:r>
        <w:lastRenderedPageBreak/>
        <w:t xml:space="preserve">Perfil </w:t>
      </w:r>
      <w:r w:rsidRPr="004A2A01">
        <w:rPr>
          <w:rFonts w:ascii="Futura Md BT" w:hAnsi="Futura Md BT"/>
        </w:rPr>
        <w:t>6.588,007</w:t>
      </w:r>
      <w:r>
        <w:t xml:space="preserve"> del río </w:t>
      </w:r>
      <w:proofErr w:type="spellStart"/>
      <w:r>
        <w:t>Ibaizabal</w:t>
      </w:r>
      <w:proofErr w:type="spellEnd"/>
      <w:r>
        <w:t>:</w:t>
      </w:r>
    </w:p>
    <w:p w:rsidR="00D021E6" w:rsidRPr="0014465C" w:rsidRDefault="00D021E6" w:rsidP="00D021E6">
      <w:pPr>
        <w:pStyle w:val="Sangra1"/>
        <w:numPr>
          <w:ilvl w:val="0"/>
          <w:numId w:val="0"/>
        </w:numPr>
        <w:ind w:left="340"/>
      </w:pPr>
      <w:r>
        <w:t xml:space="preserve">Al igual que en el perfil anterior, la lámina de agua correspondiente a la avenida de 100 años de periodo de retorno tampoco afecta a la parcela del SAPU-R-BIDEONDO en el perfil 6.588,007 del río </w:t>
      </w:r>
      <w:proofErr w:type="spellStart"/>
      <w:r>
        <w:t>Ibaizabal</w:t>
      </w:r>
      <w:proofErr w:type="spellEnd"/>
      <w:r>
        <w:t>.</w:t>
      </w:r>
    </w:p>
    <w:p w:rsidR="004A2A01" w:rsidRDefault="004A2A01" w:rsidP="00D810E0">
      <w:pPr>
        <w:jc w:val="center"/>
      </w:pPr>
      <w:r>
        <w:rPr>
          <w:noProof/>
        </w:rPr>
        <w:drawing>
          <wp:inline distT="0" distB="0" distL="0" distR="0">
            <wp:extent cx="4824000" cy="2791856"/>
            <wp:effectExtent l="19050" t="0" r="0" b="0"/>
            <wp:docPr id="8"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4" cstate="print"/>
                    <a:stretch>
                      <a:fillRect/>
                    </a:stretch>
                  </pic:blipFill>
                  <pic:spPr>
                    <a:xfrm>
                      <a:off x="0" y="0"/>
                      <a:ext cx="4824000" cy="2791856"/>
                    </a:xfrm>
                    <a:prstGeom prst="rect">
                      <a:avLst/>
                    </a:prstGeom>
                  </pic:spPr>
                </pic:pic>
              </a:graphicData>
            </a:graphic>
          </wp:inline>
        </w:drawing>
      </w:r>
    </w:p>
    <w:p w:rsidR="007A6B58" w:rsidRDefault="007A6B58" w:rsidP="007A6B58">
      <w:pPr>
        <w:pStyle w:val="Titulodefigura"/>
      </w:pPr>
      <w:r>
        <w:t>Perfil 6.588,007</w:t>
      </w:r>
    </w:p>
    <w:p w:rsidR="004A2A01" w:rsidRDefault="004A2A01" w:rsidP="004A2A01">
      <w:pPr>
        <w:pStyle w:val="Sangra1"/>
      </w:pPr>
      <w:r>
        <w:t xml:space="preserve">Perfil </w:t>
      </w:r>
      <w:r>
        <w:rPr>
          <w:rFonts w:ascii="Futura Md BT" w:hAnsi="Futura Md BT"/>
        </w:rPr>
        <w:t>6.476,012</w:t>
      </w:r>
      <w:r>
        <w:t xml:space="preserve"> del río </w:t>
      </w:r>
      <w:proofErr w:type="spellStart"/>
      <w:r>
        <w:t>Ibaizabal</w:t>
      </w:r>
      <w:proofErr w:type="spellEnd"/>
      <w:r>
        <w:t>:</w:t>
      </w:r>
    </w:p>
    <w:p w:rsidR="00D021E6" w:rsidRPr="0014465C" w:rsidRDefault="00D021E6" w:rsidP="00D021E6">
      <w:pPr>
        <w:pStyle w:val="Sangra1"/>
        <w:numPr>
          <w:ilvl w:val="0"/>
          <w:numId w:val="0"/>
        </w:numPr>
        <w:ind w:left="340"/>
      </w:pPr>
      <w:r>
        <w:t>Nuevamente, la parcela del SAPU-R-BIDEONDO</w:t>
      </w:r>
      <w:r w:rsidR="00380821">
        <w:t>, en el perfil 6.476,012 queda libre de la afección de la avenida de 100 años de periodo de retorno.</w:t>
      </w:r>
    </w:p>
    <w:p w:rsidR="00565AFA" w:rsidRDefault="004A2A01" w:rsidP="00D810E0">
      <w:pPr>
        <w:jc w:val="center"/>
      </w:pPr>
      <w:r>
        <w:rPr>
          <w:noProof/>
        </w:rPr>
        <w:drawing>
          <wp:inline distT="0" distB="0" distL="0" distR="0">
            <wp:extent cx="4824000" cy="2805087"/>
            <wp:effectExtent l="19050" t="0" r="0" b="0"/>
            <wp:docPr id="9" name="2 Imagen" descr="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jpg"/>
                    <pic:cNvPicPr/>
                  </pic:nvPicPr>
                  <pic:blipFill>
                    <a:blip r:embed="rId25" cstate="print"/>
                    <a:stretch>
                      <a:fillRect/>
                    </a:stretch>
                  </pic:blipFill>
                  <pic:spPr>
                    <a:xfrm>
                      <a:off x="0" y="0"/>
                      <a:ext cx="4824000" cy="2805087"/>
                    </a:xfrm>
                    <a:prstGeom prst="rect">
                      <a:avLst/>
                    </a:prstGeom>
                  </pic:spPr>
                </pic:pic>
              </a:graphicData>
            </a:graphic>
          </wp:inline>
        </w:drawing>
      </w:r>
    </w:p>
    <w:p w:rsidR="00380821" w:rsidRDefault="007A6B58" w:rsidP="00565AFA">
      <w:pPr>
        <w:pStyle w:val="Titulodefigura"/>
      </w:pPr>
      <w:r>
        <w:t>Perfil 6.476,012</w:t>
      </w:r>
    </w:p>
    <w:p w:rsidR="007A6B58" w:rsidRPr="007A6B58" w:rsidRDefault="007A6B58" w:rsidP="007A6B58">
      <w:pPr>
        <w:rPr>
          <w:lang w:val="es-ES_tradnl"/>
        </w:rPr>
      </w:pPr>
    </w:p>
    <w:p w:rsidR="00380821" w:rsidRDefault="00380821" w:rsidP="00565AFA">
      <w:r>
        <w:lastRenderedPageBreak/>
        <w:t>Por tanto, al analizar en detalle el modelo hidráulico en la parcela de estudio, se constata que la parcela correspondiente al SAPU-R-BIDEONDO, a priori y a falta de delimitar con exactitud la Vía de Intenso Desagüe y de comprobar las cotas de terreno en el resto de la parcela, no debería estar dentro de la Zona de Flujo Preferente, ya que no presenta los valores de calado, velocidad y producto de ambos</w:t>
      </w:r>
      <w:r w:rsidR="00351FE2">
        <w:t>,</w:t>
      </w:r>
      <w:r>
        <w:t xml:space="preserve"> exigidos para ello.</w:t>
      </w:r>
    </w:p>
    <w:p w:rsidR="00B61BD9" w:rsidRPr="001F18CC" w:rsidRDefault="00B61BD9" w:rsidP="00B61BD9">
      <w:pPr>
        <w:pStyle w:val="Ttulo3"/>
      </w:pPr>
      <w:bookmarkStart w:id="12" w:name="_Toc441142604"/>
      <w:r w:rsidRPr="001F18CC">
        <w:t>Obtención de la Vía de Intenso Desagüe</w:t>
      </w:r>
      <w:bookmarkEnd w:id="12"/>
    </w:p>
    <w:p w:rsidR="00B61BD9" w:rsidRDefault="00B61BD9" w:rsidP="00B61BD9">
      <w:r>
        <w:t xml:space="preserve">Para delimitar la Vía de Intenso Desagüe en la zona de estudio, tanto del arroyo </w:t>
      </w:r>
      <w:proofErr w:type="spellStart"/>
      <w:r>
        <w:t>Zaldei</w:t>
      </w:r>
      <w:proofErr w:type="spellEnd"/>
      <w:r>
        <w:t xml:space="preserve"> como del río </w:t>
      </w:r>
      <w:proofErr w:type="spellStart"/>
      <w:r>
        <w:t>I</w:t>
      </w:r>
      <w:r w:rsidR="00B32DC8">
        <w:t>baizabal</w:t>
      </w:r>
      <w:proofErr w:type="spellEnd"/>
      <w:r w:rsidR="00B32DC8">
        <w:t>, se ha llevado a cabo un</w:t>
      </w:r>
      <w:r>
        <w:t>a nueva simulación hidráulica:</w:t>
      </w:r>
    </w:p>
    <w:p w:rsidR="00B61BD9" w:rsidRPr="00657490" w:rsidRDefault="00B61BD9" w:rsidP="00D810E0">
      <w:pPr>
        <w:pStyle w:val="Sangra1"/>
      </w:pPr>
      <w:r w:rsidRPr="00657490">
        <w:t xml:space="preserve">Proyecto: </w:t>
      </w:r>
      <w:r>
        <w:t>Durango</w:t>
      </w:r>
      <w:r w:rsidRPr="00657490">
        <w:t>.</w:t>
      </w:r>
    </w:p>
    <w:p w:rsidR="00B61BD9" w:rsidRPr="00D810E0" w:rsidRDefault="00B61BD9" w:rsidP="00D810E0">
      <w:pPr>
        <w:pStyle w:val="Sangra1"/>
        <w:rPr>
          <w:lang w:val="de-DE"/>
        </w:rPr>
      </w:pPr>
      <w:r w:rsidRPr="00D810E0">
        <w:rPr>
          <w:lang w:val="de-DE"/>
        </w:rPr>
        <w:t xml:space="preserve">Plan: ZALDEI T100 IBAIZABAL T100 visor VID </w:t>
      </w:r>
    </w:p>
    <w:p w:rsidR="00B61BD9" w:rsidRPr="00D8378A" w:rsidRDefault="00B61BD9" w:rsidP="00D810E0">
      <w:pPr>
        <w:pStyle w:val="Sangra1"/>
      </w:pPr>
      <w:r w:rsidRPr="00D8378A">
        <w:t xml:space="preserve">Geometría: </w:t>
      </w:r>
      <w:r>
        <w:t>ZALDEI T100 IBAIZABAL T100 visor VID</w:t>
      </w:r>
    </w:p>
    <w:p w:rsidR="00B61BD9" w:rsidRDefault="00B61BD9" w:rsidP="00D810E0">
      <w:pPr>
        <w:pStyle w:val="Sangra1"/>
      </w:pPr>
      <w:r w:rsidRPr="000F1700">
        <w:t xml:space="preserve">Caudales: </w:t>
      </w:r>
      <w:r>
        <w:t>ZALDEI T100 IBAIZABAL T100 visor</w:t>
      </w:r>
    </w:p>
    <w:p w:rsidR="00542CBE" w:rsidRDefault="00542CBE" w:rsidP="00542CBE">
      <w:pPr>
        <w:pStyle w:val="Sangra1"/>
        <w:numPr>
          <w:ilvl w:val="0"/>
          <w:numId w:val="0"/>
        </w:numPr>
        <w:spacing w:after="160" w:line="340" w:lineRule="atLeast"/>
      </w:pPr>
      <w:proofErr w:type="gramStart"/>
      <w:r>
        <w:t>con</w:t>
      </w:r>
      <w:proofErr w:type="gramEnd"/>
      <w:r>
        <w:t xml:space="preserve"> la que se han obtenidos los límites que tendría un h</w:t>
      </w:r>
      <w:r w:rsidR="002525B0">
        <w:t>ipotético cauce de manera que la</w:t>
      </w:r>
      <w:r>
        <w:t xml:space="preserve"> sobreelevación máxima de la cota de la lámina de agua correspondiente a 100 años de periodo de retorno </w:t>
      </w:r>
      <w:r w:rsidR="007A6B58">
        <w:t>no supere los</w:t>
      </w:r>
      <w:r>
        <w:t xml:space="preserve"> 30 centímetros.</w:t>
      </w:r>
    </w:p>
    <w:p w:rsidR="00542CBE" w:rsidRPr="002D689D" w:rsidRDefault="00542CBE" w:rsidP="00542CBE">
      <w:r w:rsidRPr="002D689D">
        <w:t xml:space="preserve">En el </w:t>
      </w:r>
      <w:r w:rsidRPr="002D689D">
        <w:rPr>
          <w:rFonts w:ascii="Futura Md BT" w:hAnsi="Futura Md BT"/>
        </w:rPr>
        <w:t>Apéndice nº3: Perfiles transversales</w:t>
      </w:r>
      <w:r w:rsidRPr="002D689D">
        <w:t xml:space="preserve"> se reflejan la geometría y las cotas de las lám</w:t>
      </w:r>
      <w:r w:rsidR="002D689D" w:rsidRPr="002D689D">
        <w:t>inas de agua para la avenida T-1</w:t>
      </w:r>
      <w:r w:rsidRPr="002D689D">
        <w:t>00 en la Situación Actual</w:t>
      </w:r>
      <w:r w:rsidR="002D689D" w:rsidRPr="002D689D">
        <w:t xml:space="preserve"> y en la Vía de Intenso Desagüe.</w:t>
      </w:r>
    </w:p>
    <w:p w:rsidR="00542CBE" w:rsidRDefault="00542CBE" w:rsidP="00542CBE">
      <w:r w:rsidRPr="002D689D">
        <w:t xml:space="preserve">En el </w:t>
      </w:r>
      <w:r w:rsidRPr="002D689D">
        <w:rPr>
          <w:rFonts w:ascii="Futura Md BT" w:hAnsi="Futura Md BT"/>
        </w:rPr>
        <w:t>Apéndice nº2: Perfiles longitudinales</w:t>
      </w:r>
      <w:r w:rsidRPr="002D689D">
        <w:t xml:space="preserve"> se ha incluido el perfil longitudinal que compara las láminas de agua en estas dos situaciones.</w:t>
      </w:r>
    </w:p>
    <w:p w:rsidR="00542CBE" w:rsidRDefault="00542CBE" w:rsidP="00542CBE">
      <w:r>
        <w:t>En el siguiente cuadro comparativo se muestra</w:t>
      </w:r>
      <w:r w:rsidR="002525B0">
        <w:t xml:space="preserve">n </w:t>
      </w:r>
      <w:r>
        <w:t>l</w:t>
      </w:r>
      <w:r w:rsidR="002525B0">
        <w:t>os</w:t>
      </w:r>
      <w:r>
        <w:t xml:space="preserve"> valor</w:t>
      </w:r>
      <w:r w:rsidR="002525B0">
        <w:t>es</w:t>
      </w:r>
      <w:r>
        <w:t xml:space="preserve"> de la cota de la</w:t>
      </w:r>
      <w:r w:rsidR="002525B0">
        <w:t>s</w:t>
      </w:r>
      <w:r>
        <w:t xml:space="preserve"> lámina</w:t>
      </w:r>
      <w:r w:rsidR="002525B0">
        <w:t>s</w:t>
      </w:r>
      <w:r>
        <w:t xml:space="preserve"> de agua correspondiente</w:t>
      </w:r>
      <w:r w:rsidR="002525B0">
        <w:t>s</w:t>
      </w:r>
      <w:r>
        <w:t xml:space="preserve"> a la avenida de 100 años de periodo de retorno y a la VID en el ámbito de estudio</w:t>
      </w:r>
      <w:r w:rsidR="002525B0">
        <w:t>:</w:t>
      </w:r>
    </w:p>
    <w:tbl>
      <w:tblPr>
        <w:tblW w:w="6389" w:type="dxa"/>
        <w:jc w:val="center"/>
        <w:tblInd w:w="60" w:type="dxa"/>
        <w:tblCellMar>
          <w:left w:w="70" w:type="dxa"/>
          <w:right w:w="70" w:type="dxa"/>
        </w:tblCellMar>
        <w:tblLook w:val="04A0"/>
      </w:tblPr>
      <w:tblGrid>
        <w:gridCol w:w="925"/>
        <w:gridCol w:w="928"/>
        <w:gridCol w:w="1418"/>
        <w:gridCol w:w="1417"/>
        <w:gridCol w:w="1701"/>
      </w:tblGrid>
      <w:tr w:rsidR="00542CBE" w:rsidRPr="00064123" w:rsidTr="007A6B58">
        <w:trPr>
          <w:cantSplit/>
          <w:trHeight w:val="300"/>
          <w:tblHeader/>
          <w:jc w:val="center"/>
        </w:trPr>
        <w:tc>
          <w:tcPr>
            <w:tcW w:w="925" w:type="dxa"/>
            <w:tcBorders>
              <w:top w:val="single" w:sz="4" w:space="0" w:color="auto"/>
              <w:left w:val="single" w:sz="4" w:space="0" w:color="auto"/>
              <w:bottom w:val="single" w:sz="8" w:space="0" w:color="auto"/>
              <w:right w:val="single" w:sz="4" w:space="0" w:color="auto"/>
            </w:tcBorders>
            <w:shd w:val="clear" w:color="auto" w:fill="D9D9D9"/>
            <w:noWrap/>
            <w:vAlign w:val="center"/>
            <w:hideMark/>
          </w:tcPr>
          <w:p w:rsidR="00542CBE" w:rsidRPr="00064123" w:rsidRDefault="00542CBE" w:rsidP="00542CBE">
            <w:pPr>
              <w:overflowPunct/>
              <w:autoSpaceDE/>
              <w:autoSpaceDN/>
              <w:adjustRightInd/>
              <w:spacing w:after="0" w:line="240" w:lineRule="auto"/>
              <w:textAlignment w:val="auto"/>
              <w:rPr>
                <w:rFonts w:ascii="Futura Md BT" w:hAnsi="Futura Md BT"/>
                <w:color w:val="000000"/>
                <w:sz w:val="16"/>
                <w:szCs w:val="16"/>
              </w:rPr>
            </w:pPr>
            <w:r w:rsidRPr="00064123">
              <w:rPr>
                <w:rFonts w:ascii="Futura Md BT" w:hAnsi="Futura Md BT"/>
                <w:color w:val="000000"/>
                <w:sz w:val="16"/>
                <w:szCs w:val="16"/>
              </w:rPr>
              <w:t>RÍO</w:t>
            </w:r>
          </w:p>
        </w:tc>
        <w:tc>
          <w:tcPr>
            <w:tcW w:w="928" w:type="dxa"/>
            <w:tcBorders>
              <w:top w:val="single" w:sz="4" w:space="0" w:color="auto"/>
              <w:left w:val="single" w:sz="4" w:space="0" w:color="auto"/>
              <w:bottom w:val="single" w:sz="8" w:space="0" w:color="auto"/>
              <w:right w:val="nil"/>
            </w:tcBorders>
            <w:shd w:val="clear" w:color="auto" w:fill="D9D9D9"/>
            <w:noWrap/>
            <w:vAlign w:val="center"/>
            <w:hideMark/>
          </w:tcPr>
          <w:p w:rsidR="00542CBE" w:rsidRPr="00064123" w:rsidRDefault="00542CBE" w:rsidP="00542CBE">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PERFIL</w:t>
            </w:r>
          </w:p>
        </w:tc>
        <w:tc>
          <w:tcPr>
            <w:tcW w:w="1418" w:type="dxa"/>
            <w:tcBorders>
              <w:top w:val="single" w:sz="4" w:space="0" w:color="auto"/>
              <w:left w:val="single" w:sz="4" w:space="0" w:color="auto"/>
              <w:bottom w:val="single" w:sz="8" w:space="0" w:color="auto"/>
            </w:tcBorders>
            <w:shd w:val="clear" w:color="auto" w:fill="D9D9D9"/>
            <w:noWrap/>
            <w:vAlign w:val="center"/>
            <w:hideMark/>
          </w:tcPr>
          <w:p w:rsidR="00542CBE" w:rsidRPr="00064123" w:rsidRDefault="00542CBE" w:rsidP="00542CBE">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PLAN</w:t>
            </w:r>
          </w:p>
        </w:tc>
        <w:tc>
          <w:tcPr>
            <w:tcW w:w="1417" w:type="dxa"/>
            <w:tcBorders>
              <w:top w:val="single" w:sz="4" w:space="0" w:color="auto"/>
              <w:left w:val="single" w:sz="4" w:space="0" w:color="auto"/>
              <w:bottom w:val="single" w:sz="8" w:space="0" w:color="auto"/>
            </w:tcBorders>
            <w:shd w:val="clear" w:color="auto" w:fill="D9D9D9"/>
            <w:vAlign w:val="center"/>
          </w:tcPr>
          <w:p w:rsidR="00542CBE" w:rsidRPr="00064123" w:rsidRDefault="00AD1A63" w:rsidP="00542CBE">
            <w:pPr>
              <w:overflowPunct/>
              <w:autoSpaceDE/>
              <w:autoSpaceDN/>
              <w:adjustRightInd/>
              <w:spacing w:after="0" w:line="240" w:lineRule="auto"/>
              <w:jc w:val="center"/>
              <w:textAlignment w:val="auto"/>
              <w:rPr>
                <w:rFonts w:ascii="Futura Md BT" w:hAnsi="Futura Md BT"/>
                <w:color w:val="000000"/>
                <w:sz w:val="16"/>
                <w:szCs w:val="16"/>
              </w:rPr>
            </w:pPr>
            <w:r>
              <w:rPr>
                <w:rFonts w:ascii="Futura Md BT" w:hAnsi="Futura Md BT"/>
                <w:color w:val="000000"/>
                <w:sz w:val="16"/>
                <w:szCs w:val="16"/>
              </w:rPr>
              <w:t>COTA T-1</w:t>
            </w:r>
            <w:r w:rsidR="00542CBE" w:rsidRPr="00064123">
              <w:rPr>
                <w:rFonts w:ascii="Futura Md BT" w:hAnsi="Futura Md BT"/>
                <w:color w:val="000000"/>
                <w:sz w:val="16"/>
                <w:szCs w:val="16"/>
              </w:rPr>
              <w:t>00</w:t>
            </w:r>
          </w:p>
        </w:tc>
        <w:tc>
          <w:tcPr>
            <w:tcW w:w="1701" w:type="dxa"/>
            <w:tcBorders>
              <w:top w:val="single" w:sz="4" w:space="0" w:color="auto"/>
              <w:left w:val="single" w:sz="4" w:space="0" w:color="auto"/>
              <w:bottom w:val="single" w:sz="8" w:space="0" w:color="auto"/>
              <w:right w:val="single" w:sz="4" w:space="0" w:color="auto"/>
            </w:tcBorders>
            <w:shd w:val="clear" w:color="auto" w:fill="D9D9D9"/>
            <w:vAlign w:val="center"/>
          </w:tcPr>
          <w:p w:rsidR="00542CBE" w:rsidRPr="00064123" w:rsidRDefault="00542CBE" w:rsidP="00542CBE">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INCREMENTO COTA</w:t>
            </w:r>
          </w:p>
        </w:tc>
      </w:tr>
      <w:tr w:rsidR="00542CBE" w:rsidRPr="008A475D" w:rsidTr="007A6B58">
        <w:trPr>
          <w:cantSplit/>
          <w:trHeight w:val="227"/>
          <w:jc w:val="center"/>
        </w:trPr>
        <w:tc>
          <w:tcPr>
            <w:tcW w:w="925"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542CBE" w:rsidRPr="008A475D" w:rsidRDefault="00542CBE" w:rsidP="00542CBE">
            <w:pPr>
              <w:rPr>
                <w:color w:val="000000"/>
                <w:sz w:val="16"/>
                <w:szCs w:val="16"/>
              </w:rPr>
            </w:pPr>
            <w:r>
              <w:rPr>
                <w:color w:val="000000"/>
                <w:sz w:val="16"/>
                <w:szCs w:val="16"/>
              </w:rPr>
              <w:t>ZALDEI</w:t>
            </w:r>
          </w:p>
        </w:tc>
        <w:tc>
          <w:tcPr>
            <w:tcW w:w="928" w:type="dxa"/>
            <w:tcBorders>
              <w:top w:val="single" w:sz="8"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290.2568</w:t>
            </w:r>
          </w:p>
        </w:tc>
        <w:tc>
          <w:tcPr>
            <w:tcW w:w="4536" w:type="dxa"/>
            <w:gridSpan w:val="3"/>
            <w:tcBorders>
              <w:top w:val="single" w:sz="8"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280.0043</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42CBE" w:rsidRPr="008A475D" w:rsidRDefault="00741CF0" w:rsidP="00542CBE">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00AD1A63">
              <w:rPr>
                <w:color w:val="000000"/>
                <w:sz w:val="16"/>
                <w:szCs w:val="16"/>
              </w:rPr>
              <w:t>29</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42CBE" w:rsidRPr="008A475D" w:rsidRDefault="00542CBE"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741CF0" w:rsidP="00542CBE">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00AD1A63">
              <w:rPr>
                <w:color w:val="000000"/>
                <w:sz w:val="16"/>
                <w:szCs w:val="16"/>
              </w:rPr>
              <w:t>29</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42CBE" w:rsidRPr="008A475D" w:rsidRDefault="00542CBE"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226.506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00AD1A63">
              <w:rPr>
                <w:color w:val="000000"/>
                <w:sz w:val="16"/>
                <w:szCs w:val="16"/>
              </w:rPr>
              <w:t>14</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00AD1A63">
              <w:rPr>
                <w:color w:val="000000"/>
                <w:sz w:val="16"/>
                <w:szCs w:val="16"/>
              </w:rPr>
              <w:t>14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222.5853</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219.0619</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00AD1A63">
              <w:rPr>
                <w:color w:val="000000"/>
                <w:sz w:val="16"/>
                <w:szCs w:val="16"/>
              </w:rPr>
              <w:t>61</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01</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00AD1A63">
              <w:rPr>
                <w:color w:val="000000"/>
                <w:sz w:val="16"/>
                <w:szCs w:val="16"/>
              </w:rPr>
              <w:t>62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164.4836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w:t>
            </w:r>
            <w:r w:rsidR="00AD1A63">
              <w:rPr>
                <w:color w:val="000000"/>
                <w:sz w:val="16"/>
                <w:szCs w:val="16"/>
              </w:rPr>
              <w:t>08,82</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28</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00AD1A63">
              <w:rPr>
                <w:color w:val="000000"/>
                <w:sz w:val="16"/>
                <w:szCs w:val="16"/>
              </w:rPr>
              <w:t>10</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AD1A63"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8A475D" w:rsidRDefault="00AD1A63"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154.0366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w:t>
            </w:r>
            <w:r>
              <w:rPr>
                <w:color w:val="000000"/>
                <w:sz w:val="16"/>
                <w:szCs w:val="16"/>
              </w:rPr>
              <w:t>08,82</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EB4537" w:rsidRDefault="00AD1A63" w:rsidP="00542CBE">
            <w:pPr>
              <w:overflowPunct/>
              <w:autoSpaceDE/>
              <w:autoSpaceDN/>
              <w:adjustRightInd/>
              <w:spacing w:after="0" w:line="240" w:lineRule="auto"/>
              <w:jc w:val="right"/>
              <w:textAlignment w:val="auto"/>
              <w:rPr>
                <w:b/>
                <w:color w:val="000000"/>
                <w:sz w:val="16"/>
                <w:szCs w:val="16"/>
              </w:rPr>
            </w:pPr>
            <w:r w:rsidRPr="00EB4537">
              <w:rPr>
                <w:b/>
                <w:color w:val="000000"/>
                <w:sz w:val="16"/>
                <w:szCs w:val="16"/>
              </w:rPr>
              <w:t>0,30</w:t>
            </w:r>
          </w:p>
        </w:tc>
      </w:tr>
      <w:tr w:rsidR="00AD1A63"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,12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152.2303</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150.3251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8,80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25</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00AD1A63">
              <w:rPr>
                <w:color w:val="000000"/>
                <w:sz w:val="16"/>
                <w:szCs w:val="16"/>
              </w:rPr>
              <w:t>05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103.7443</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8,77</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2</w:t>
            </w:r>
            <w:r w:rsidRPr="008A475D">
              <w:rPr>
                <w:color w:val="000000"/>
                <w:sz w:val="16"/>
                <w:szCs w:val="16"/>
              </w:rPr>
              <w:t>7</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00AD1A63">
              <w:rPr>
                <w:color w:val="000000"/>
                <w:sz w:val="16"/>
                <w:szCs w:val="16"/>
              </w:rPr>
              <w:t>04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97.5769</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91.431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8,55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29</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8,84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AD1A63"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8A475D" w:rsidRDefault="00AD1A63"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43.9244</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Pr>
                <w:color w:val="000000"/>
                <w:sz w:val="16"/>
                <w:szCs w:val="16"/>
              </w:rPr>
              <w:t>8,57</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8A475D" w:rsidRDefault="00AD1A63"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,27</w:t>
            </w:r>
          </w:p>
        </w:tc>
      </w:tr>
      <w:tr w:rsidR="00AD1A63"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Pr>
                <w:color w:val="000000"/>
                <w:sz w:val="16"/>
                <w:szCs w:val="16"/>
              </w:rPr>
              <w:t>8,84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26.8116</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AD1A63"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D1A63" w:rsidRPr="008A475D" w:rsidRDefault="00AD1A63"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8A475D" w:rsidRDefault="00AD1A63"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10.5931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Pr>
                <w:color w:val="000000"/>
                <w:sz w:val="16"/>
                <w:szCs w:val="16"/>
              </w:rPr>
              <w:t>8,55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1A63" w:rsidRPr="008A475D" w:rsidRDefault="00AD1A63" w:rsidP="00AD1A63">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,20</w:t>
            </w:r>
          </w:p>
        </w:tc>
      </w:tr>
      <w:tr w:rsidR="00AD1A63" w:rsidRPr="008A475D" w:rsidTr="007A6B58">
        <w:trPr>
          <w:cantSplit/>
          <w:trHeight w:val="227"/>
          <w:jc w:val="center"/>
        </w:trPr>
        <w:tc>
          <w:tcPr>
            <w:tcW w:w="925" w:type="dxa"/>
            <w:vMerge/>
            <w:tcBorders>
              <w:top w:val="single" w:sz="4" w:space="0" w:color="auto"/>
              <w:left w:val="single" w:sz="4" w:space="0" w:color="auto"/>
              <w:bottom w:val="single" w:sz="8" w:space="0" w:color="auto"/>
              <w:right w:val="single" w:sz="4" w:space="0" w:color="auto"/>
            </w:tcBorders>
            <w:shd w:val="clear" w:color="auto" w:fill="auto"/>
            <w:noWrap/>
            <w:vAlign w:val="bottom"/>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c>
          <w:tcPr>
            <w:tcW w:w="928" w:type="dxa"/>
            <w:vMerge/>
            <w:tcBorders>
              <w:top w:val="single" w:sz="4" w:space="0" w:color="auto"/>
              <w:left w:val="single" w:sz="4" w:space="0" w:color="auto"/>
              <w:bottom w:val="single" w:sz="8"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8" w:space="0" w:color="auto"/>
              <w:right w:val="single" w:sz="4" w:space="0" w:color="auto"/>
            </w:tcBorders>
            <w:shd w:val="clear" w:color="auto" w:fill="auto"/>
            <w:noWrap/>
            <w:vAlign w:val="bottom"/>
            <w:hideMark/>
          </w:tcPr>
          <w:p w:rsidR="00AD1A63" w:rsidRPr="008A475D" w:rsidRDefault="00AD1A63"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8" w:space="0" w:color="auto"/>
              <w:right w:val="single" w:sz="4" w:space="0" w:color="auto"/>
            </w:tcBorders>
            <w:shd w:val="clear" w:color="auto" w:fill="auto"/>
            <w:noWrap/>
            <w:vAlign w:val="bottom"/>
            <w:hideMark/>
          </w:tcPr>
          <w:p w:rsidR="00AD1A63" w:rsidRPr="008A475D" w:rsidRDefault="00AD1A63" w:rsidP="00B32DC8">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Pr>
                <w:color w:val="000000"/>
                <w:sz w:val="16"/>
                <w:szCs w:val="16"/>
              </w:rPr>
              <w:t>8,75</w:t>
            </w:r>
          </w:p>
        </w:tc>
        <w:tc>
          <w:tcPr>
            <w:tcW w:w="1701" w:type="dxa"/>
            <w:vMerge/>
            <w:tcBorders>
              <w:top w:val="single" w:sz="4" w:space="0" w:color="auto"/>
              <w:left w:val="single" w:sz="4" w:space="0" w:color="auto"/>
              <w:bottom w:val="single" w:sz="8" w:space="0" w:color="auto"/>
              <w:right w:val="single" w:sz="4" w:space="0" w:color="auto"/>
            </w:tcBorders>
            <w:vAlign w:val="center"/>
            <w:hideMark/>
          </w:tcPr>
          <w:p w:rsidR="00AD1A63" w:rsidRPr="008A475D" w:rsidRDefault="00AD1A63"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r w:rsidRPr="008A475D">
              <w:rPr>
                <w:color w:val="000000"/>
                <w:sz w:val="16"/>
                <w:szCs w:val="16"/>
              </w:rPr>
              <w:t>IBAIZABAL</w:t>
            </w:r>
          </w:p>
        </w:tc>
        <w:tc>
          <w:tcPr>
            <w:tcW w:w="928"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6688.85</w:t>
            </w:r>
          </w:p>
        </w:tc>
        <w:tc>
          <w:tcPr>
            <w:tcW w:w="1418" w:type="dxa"/>
            <w:tcBorders>
              <w:top w:val="single" w:sz="8"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8"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108</w:t>
            </w:r>
            <w:r>
              <w:rPr>
                <w:color w:val="000000"/>
                <w:sz w:val="16"/>
                <w:szCs w:val="16"/>
              </w:rPr>
              <w:t>,</w:t>
            </w:r>
            <w:r w:rsidR="00AD1A63">
              <w:rPr>
                <w:color w:val="000000"/>
                <w:sz w:val="16"/>
                <w:szCs w:val="16"/>
              </w:rPr>
              <w:t>09</w:t>
            </w:r>
          </w:p>
        </w:tc>
        <w:tc>
          <w:tcPr>
            <w:tcW w:w="1701"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00AD1A63">
              <w:rPr>
                <w:color w:val="000000"/>
                <w:sz w:val="16"/>
                <w:szCs w:val="16"/>
              </w:rPr>
              <w:t>24</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108</w:t>
            </w:r>
            <w:r>
              <w:rPr>
                <w:color w:val="000000"/>
                <w:sz w:val="16"/>
                <w:szCs w:val="16"/>
              </w:rPr>
              <w:t>,</w:t>
            </w:r>
            <w:r w:rsidR="00AD1A63">
              <w:rPr>
                <w:color w:val="000000"/>
                <w:sz w:val="16"/>
                <w:szCs w:val="16"/>
              </w:rPr>
              <w:t>33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6682.54</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6675.898</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6,89</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AD1A63">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w:t>
            </w:r>
            <w:r w:rsidR="00AD1A63">
              <w:rPr>
                <w:color w:val="000000"/>
                <w:sz w:val="16"/>
                <w:szCs w:val="16"/>
              </w:rPr>
              <w:t>1</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6,90</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6588.007</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00AD1A63">
              <w:rPr>
                <w:color w:val="000000"/>
                <w:sz w:val="16"/>
                <w:szCs w:val="16"/>
              </w:rPr>
              <w:t>33</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AD1A63">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w:t>
            </w:r>
            <w:r w:rsidR="00AD1A63">
              <w:rPr>
                <w:color w:val="000000"/>
                <w:sz w:val="16"/>
                <w:szCs w:val="16"/>
              </w:rPr>
              <w:t>9</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00AD1A63">
              <w:rPr>
                <w:color w:val="000000"/>
                <w:sz w:val="16"/>
                <w:szCs w:val="16"/>
              </w:rPr>
              <w:t>42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6476.012</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00AD1A63">
              <w:rPr>
                <w:color w:val="000000"/>
                <w:sz w:val="16"/>
                <w:szCs w:val="16"/>
              </w:rPr>
              <w:t>15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AD1A63">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w:t>
            </w:r>
            <w:r w:rsidR="00AD1A63">
              <w:rPr>
                <w:color w:val="000000"/>
                <w:sz w:val="16"/>
                <w:szCs w:val="16"/>
              </w:rPr>
              <w:t>1</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00AD1A63">
              <w:rPr>
                <w:color w:val="000000"/>
                <w:sz w:val="16"/>
                <w:szCs w:val="16"/>
              </w:rPr>
              <w:t>16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6400.46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AD1A63" w:rsidP="00542CBE">
            <w:pPr>
              <w:overflowPunct/>
              <w:autoSpaceDE/>
              <w:autoSpaceDN/>
              <w:adjustRightInd/>
              <w:spacing w:after="0" w:line="240" w:lineRule="auto"/>
              <w:jc w:val="right"/>
              <w:textAlignment w:val="auto"/>
              <w:rPr>
                <w:color w:val="000000"/>
                <w:sz w:val="16"/>
                <w:szCs w:val="16"/>
              </w:rPr>
            </w:pPr>
            <w:r>
              <w:rPr>
                <w:color w:val="000000"/>
                <w:sz w:val="16"/>
                <w:szCs w:val="16"/>
              </w:rPr>
              <w:t>105,7</w:t>
            </w:r>
            <w:r w:rsidR="00741CF0" w:rsidRPr="008A475D">
              <w:rPr>
                <w:color w:val="000000"/>
                <w:sz w:val="16"/>
                <w:szCs w:val="16"/>
              </w:rPr>
              <w:t>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AD1A63" w:rsidP="00542CBE">
            <w:pPr>
              <w:overflowPunct/>
              <w:autoSpaceDE/>
              <w:autoSpaceDN/>
              <w:adjustRightInd/>
              <w:spacing w:after="0" w:line="240" w:lineRule="auto"/>
              <w:jc w:val="right"/>
              <w:textAlignment w:val="auto"/>
              <w:rPr>
                <w:color w:val="000000"/>
                <w:sz w:val="16"/>
                <w:szCs w:val="16"/>
              </w:rPr>
            </w:pPr>
            <w:r>
              <w:rPr>
                <w:color w:val="000000"/>
                <w:sz w:val="16"/>
                <w:szCs w:val="16"/>
              </w:rPr>
              <w:t>105,7</w:t>
            </w:r>
            <w:r w:rsidRPr="008A475D">
              <w:rPr>
                <w:color w:val="000000"/>
                <w:sz w:val="16"/>
                <w:szCs w:val="16"/>
              </w:rPr>
              <w:t>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6294.514</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741CF0" w:rsidRPr="008A475D" w:rsidRDefault="00AD1A63" w:rsidP="00542CBE">
            <w:pPr>
              <w:overflowPunct/>
              <w:autoSpaceDE/>
              <w:autoSpaceDN/>
              <w:adjustRightInd/>
              <w:spacing w:after="0" w:line="240" w:lineRule="auto"/>
              <w:jc w:val="right"/>
              <w:textAlignment w:val="auto"/>
              <w:rPr>
                <w:color w:val="000000"/>
                <w:sz w:val="16"/>
                <w:szCs w:val="16"/>
              </w:rPr>
            </w:pPr>
            <w:r>
              <w:rPr>
                <w:color w:val="000000"/>
                <w:sz w:val="16"/>
                <w:szCs w:val="16"/>
              </w:rPr>
              <w:t>105,80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AD1A63" w:rsidP="00542CBE">
            <w:pPr>
              <w:overflowPunct/>
              <w:autoSpaceDE/>
              <w:autoSpaceDN/>
              <w:adjustRightInd/>
              <w:spacing w:after="0" w:line="240" w:lineRule="auto"/>
              <w:jc w:val="right"/>
              <w:textAlignment w:val="auto"/>
              <w:rPr>
                <w:color w:val="000000"/>
                <w:sz w:val="16"/>
                <w:szCs w:val="16"/>
              </w:rPr>
            </w:pPr>
            <w:r>
              <w:rPr>
                <w:color w:val="000000"/>
                <w:sz w:val="16"/>
                <w:szCs w:val="16"/>
              </w:rPr>
              <w:t>105,80</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6285.502</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6275.797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T 100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sidR="00AD1A63">
              <w:rPr>
                <w:color w:val="000000"/>
                <w:sz w:val="16"/>
                <w:szCs w:val="16"/>
              </w:rPr>
              <w:t>5,52</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1CF0" w:rsidRPr="008A475D" w:rsidRDefault="00741CF0"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741CF0"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542CBE">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741CF0" w:rsidP="00741CF0">
            <w:pPr>
              <w:overflowPunct/>
              <w:autoSpaceDE/>
              <w:autoSpaceDN/>
              <w:adjustRightInd/>
              <w:spacing w:after="0" w:line="240" w:lineRule="auto"/>
              <w:textAlignment w:val="auto"/>
              <w:rPr>
                <w:color w:val="000000"/>
                <w:sz w:val="16"/>
                <w:szCs w:val="16"/>
              </w:rPr>
            </w:pPr>
            <w:r>
              <w:rPr>
                <w:color w:val="000000"/>
                <w:sz w:val="16"/>
                <w:szCs w:val="16"/>
              </w:rPr>
              <w:t>VID</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1CF0" w:rsidRPr="008A475D" w:rsidRDefault="00AD1A63"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10</w:t>
            </w:r>
            <w:r>
              <w:rPr>
                <w:color w:val="000000"/>
                <w:sz w:val="16"/>
                <w:szCs w:val="16"/>
              </w:rPr>
              <w:t>5,52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41CF0" w:rsidRPr="008A475D" w:rsidRDefault="00741CF0" w:rsidP="00542CBE">
            <w:pPr>
              <w:overflowPunct/>
              <w:autoSpaceDE/>
              <w:autoSpaceDN/>
              <w:adjustRightInd/>
              <w:spacing w:after="0" w:line="240" w:lineRule="auto"/>
              <w:textAlignment w:val="auto"/>
              <w:rPr>
                <w:color w:val="000000"/>
                <w:sz w:val="16"/>
                <w:szCs w:val="16"/>
              </w:rPr>
            </w:pPr>
          </w:p>
        </w:tc>
      </w:tr>
      <w:tr w:rsidR="00542CBE"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2CBE" w:rsidRPr="008A475D" w:rsidRDefault="00542CBE" w:rsidP="00542CBE">
            <w:pPr>
              <w:overflowPunct/>
              <w:autoSpaceDE/>
              <w:autoSpaceDN/>
              <w:adjustRightInd/>
              <w:spacing w:after="0" w:line="240" w:lineRule="auto"/>
              <w:textAlignment w:val="auto"/>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42CBE" w:rsidRPr="008A475D" w:rsidRDefault="00542CBE" w:rsidP="00542CBE">
            <w:pPr>
              <w:overflowPunct/>
              <w:autoSpaceDE/>
              <w:autoSpaceDN/>
              <w:adjustRightInd/>
              <w:spacing w:after="0" w:line="240" w:lineRule="auto"/>
              <w:jc w:val="right"/>
              <w:textAlignment w:val="auto"/>
              <w:rPr>
                <w:color w:val="000000"/>
                <w:sz w:val="16"/>
                <w:szCs w:val="16"/>
              </w:rPr>
            </w:pPr>
            <w:r w:rsidRPr="008A475D">
              <w:rPr>
                <w:color w:val="000000"/>
                <w:sz w:val="16"/>
                <w:szCs w:val="16"/>
              </w:rPr>
              <w:t>6273.934</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42CBE" w:rsidRPr="008A475D" w:rsidRDefault="00542CBE" w:rsidP="00542CBE">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bl>
    <w:p w:rsidR="007A6B58" w:rsidRDefault="007A6B58" w:rsidP="00565AFA"/>
    <w:p w:rsidR="00B61BD9" w:rsidRDefault="002525B0" w:rsidP="00565AFA">
      <w:r>
        <w:t>Como se puede comprobar, la Vía de Intenso Desagüe no afecta en modo alguno a la superficie del SAPU-R-BIDEONDO.</w:t>
      </w:r>
    </w:p>
    <w:p w:rsidR="00380821" w:rsidRDefault="00380821" w:rsidP="002B6FA1">
      <w:pPr>
        <w:pStyle w:val="Ttulo3"/>
      </w:pPr>
      <w:bookmarkStart w:id="13" w:name="_Toc441142605"/>
      <w:r>
        <w:t>Topografía de detalle de la parcela</w:t>
      </w:r>
      <w:bookmarkEnd w:id="13"/>
    </w:p>
    <w:p w:rsidR="00D467D3" w:rsidRPr="002D689D" w:rsidRDefault="00380821" w:rsidP="00380821">
      <w:pPr>
        <w:rPr>
          <w:rFonts w:ascii="Futura Md BT" w:hAnsi="Futura Md BT"/>
        </w:rPr>
      </w:pPr>
      <w:r>
        <w:t xml:space="preserve">Con el fin de aclarar todas la dudas sobre el calado máximo que una avenida de 100 años de periodo de </w:t>
      </w:r>
      <w:r w:rsidRPr="002D689D">
        <w:t xml:space="preserve">retorno </w:t>
      </w:r>
      <w:r w:rsidR="00663AE5" w:rsidRPr="002D689D">
        <w:t xml:space="preserve">cogería dentro de la parcela del SAPU-R-BIDEONDO, se ha llevado a cabo un levantamiento taquimétrico de la misma, que se presenta en el </w:t>
      </w:r>
      <w:r w:rsidR="00146ED0" w:rsidRPr="002D689D">
        <w:rPr>
          <w:rFonts w:ascii="Futura Md BT" w:hAnsi="Futura Md BT"/>
        </w:rPr>
        <w:t>A</w:t>
      </w:r>
      <w:r w:rsidR="00663AE5" w:rsidRPr="002D689D">
        <w:rPr>
          <w:rFonts w:ascii="Futura Md BT" w:hAnsi="Futura Md BT"/>
        </w:rPr>
        <w:t>péndice n</w:t>
      </w:r>
      <w:r w:rsidR="00D467D3" w:rsidRPr="002D689D">
        <w:rPr>
          <w:rFonts w:ascii="Futura Md BT" w:hAnsi="Futura Md BT"/>
        </w:rPr>
        <w:t>º 1: Levantamiento taquimétrico.</w:t>
      </w:r>
    </w:p>
    <w:p w:rsidR="00D467D3" w:rsidRDefault="00D467D3" w:rsidP="00380821">
      <w:r w:rsidRPr="002D689D">
        <w:t>En dicho taquimétrico</w:t>
      </w:r>
      <w:r w:rsidRPr="00D467D3">
        <w:t xml:space="preserve">, se </w:t>
      </w:r>
      <w:r>
        <w:t xml:space="preserve">puede comprobar que las cotas de terreno dentro de la parcela a la altura del perfil 10,5931 del arroyo </w:t>
      </w:r>
      <w:proofErr w:type="spellStart"/>
      <w:r>
        <w:t>Zaldei</w:t>
      </w:r>
      <w:proofErr w:type="spellEnd"/>
      <w:r>
        <w:t xml:space="preserve"> son siempre iguales o superiores a 108,00 metros. Teniendo en cuenta que la diferencia de cotas entre el geoide 08, con el que se han obtenido las cotas empleadas en la modelización hidráulica</w:t>
      </w:r>
      <w:r w:rsidR="007A6B58">
        <w:t>,</w:t>
      </w:r>
      <w:r>
        <w:t xml:space="preserve"> y la topografía clásica en la zona de </w:t>
      </w:r>
      <w:proofErr w:type="spellStart"/>
      <w:r>
        <w:t>Iurreta</w:t>
      </w:r>
      <w:proofErr w:type="spellEnd"/>
      <w:r w:rsidR="007A6B58">
        <w:t>,</w:t>
      </w:r>
      <w:r>
        <w:t xml:space="preserve"> es del orden de 35 centímetros, al trasladar las cotas del taquimétrico al sistema del geoide 08, la cota mínima de terreno seria de 107,65 metros.</w:t>
      </w:r>
    </w:p>
    <w:p w:rsidR="00565AFA" w:rsidRDefault="00D467D3" w:rsidP="00565AFA">
      <w:r>
        <w:t>Por tanto, con las cota</w:t>
      </w:r>
      <w:r w:rsidR="007A6B58">
        <w:t>s</w:t>
      </w:r>
      <w:r>
        <w:t xml:space="preserve"> de la lámina de agua correspondiente a la avenida de 100 años de periodo de retorno de 108,55 metros en el mencionado perfil, queda constancia</w:t>
      </w:r>
      <w:r w:rsidR="00663AE5">
        <w:t xml:space="preserve"> </w:t>
      </w:r>
      <w:r w:rsidR="007A6B58">
        <w:t xml:space="preserve">de </w:t>
      </w:r>
      <w:r w:rsidR="00663AE5">
        <w:t>que el calado es inferior a 1 metro en cualquier punto del sector urbanístico.</w:t>
      </w:r>
    </w:p>
    <w:p w:rsidR="002B6FA1" w:rsidRDefault="002B6FA1" w:rsidP="002B6FA1">
      <w:pPr>
        <w:pStyle w:val="Ttulo3"/>
      </w:pPr>
      <w:bookmarkStart w:id="14" w:name="_Toc441142606"/>
      <w:r>
        <w:lastRenderedPageBreak/>
        <w:t>Conversación telefónica con los técnicos de la oficina central de la Agencia Vasca del Agua</w:t>
      </w:r>
      <w:bookmarkEnd w:id="14"/>
    </w:p>
    <w:p w:rsidR="002B6FA1" w:rsidRDefault="002B6FA1" w:rsidP="002B6FA1">
      <w:r>
        <w:t>A la vista de los resultados obtenidos durante el análisis de la Zona de Flujo Preferente llevado a cabo, FULCRUM se pone en contacto con los técnicos de la oficina central de la Agencia Vasca del Agua en Vitoria.</w:t>
      </w:r>
    </w:p>
    <w:p w:rsidR="002B6FA1" w:rsidRPr="002B6FA1" w:rsidRDefault="002B6FA1" w:rsidP="002B6FA1">
      <w:r>
        <w:t xml:space="preserve">Tras una revisión por su parte concluyen que, efectivamente, existe un error en la delimitación de la Zona de Flujo Preferente en la zona y que la parcela del SAPU-R BIDEONDO no se encuentra afectada </w:t>
      </w:r>
      <w:r w:rsidR="002525B0">
        <w:t>por ella.</w:t>
      </w:r>
    </w:p>
    <w:p w:rsidR="00565AFA" w:rsidRDefault="002B6FA1" w:rsidP="00146ED0">
      <w:pPr>
        <w:pStyle w:val="Ttulo2"/>
      </w:pPr>
      <w:bookmarkStart w:id="15" w:name="_Toc441142607"/>
      <w:r>
        <w:t>Justificación de la no afección a terceros</w:t>
      </w:r>
      <w:bookmarkEnd w:id="15"/>
    </w:p>
    <w:p w:rsidR="00F34D1D" w:rsidRDefault="00F34D1D" w:rsidP="00565AFA">
      <w:r>
        <w:t xml:space="preserve">Otro de los requerimientos de </w:t>
      </w:r>
      <w:proofErr w:type="spellStart"/>
      <w:r>
        <w:t>Ura</w:t>
      </w:r>
      <w:proofErr w:type="spellEnd"/>
      <w:r>
        <w:t xml:space="preserve"> para aprobar cualquier actuación en la zona de policía de un cauce, que también está incluido en el escrito de respuesta al proyecto de urbanización del sector SAPU-R-BIDEONDO remitido, es que</w:t>
      </w:r>
      <w:r w:rsidR="00565AFA" w:rsidRPr="00CD0311">
        <w:t xml:space="preserve"> ningún caso </w:t>
      </w:r>
      <w:r>
        <w:t>los rellenos y ocupaciones realizadas en zona inundable</w:t>
      </w:r>
      <w:r w:rsidR="00565AFA" w:rsidRPr="00CD0311">
        <w:t xml:space="preserve"> deben producir </w:t>
      </w:r>
      <w:r>
        <w:t>afecciones a terceros, es decir,</w:t>
      </w:r>
      <w:r w:rsidR="00565AFA" w:rsidRPr="00CD0311">
        <w:t xml:space="preserve"> sobreelevaciones de la lámina de agua </w:t>
      </w:r>
      <w:r>
        <w:t>correspondiente a</w:t>
      </w:r>
      <w:r w:rsidRPr="00CD0311">
        <w:t xml:space="preserve"> la avenida de</w:t>
      </w:r>
      <w:r>
        <w:t xml:space="preserve"> 500 años de periodo de retorno</w:t>
      </w:r>
      <w:r w:rsidRPr="00CD0311">
        <w:t xml:space="preserve"> </w:t>
      </w:r>
      <w:r w:rsidR="00565AFA" w:rsidRPr="00CD0311">
        <w:t>superiores a 10 cm de altura</w:t>
      </w:r>
      <w:r>
        <w:t>.</w:t>
      </w:r>
    </w:p>
    <w:p w:rsidR="00565AFA" w:rsidRDefault="00F34D1D" w:rsidP="00565AFA">
      <w:r>
        <w:t xml:space="preserve">Pese al análisis de la </w:t>
      </w:r>
      <w:proofErr w:type="spellStart"/>
      <w:r>
        <w:t>inundabilidad</w:t>
      </w:r>
      <w:proofErr w:type="spellEnd"/>
      <w:r>
        <w:t xml:space="preserve"> de la parcela realizado y presentado, en el que se constata que se trata de una zona con velocidades de la lámina de agua muy pequeñas y gran influencia de la cota de agua en el río </w:t>
      </w:r>
      <w:proofErr w:type="spellStart"/>
      <w:r>
        <w:t>Ibaizabal</w:t>
      </w:r>
      <w:proofErr w:type="spellEnd"/>
      <w:r>
        <w:t xml:space="preserve">, con el fin de que no queden dudas respecto a la no afección a terceros, </w:t>
      </w:r>
      <w:r w:rsidR="00565AFA">
        <w:t>se ha reproducido un escenario en el que se incluyen los rellenos previstos de la urbanización en función de los límites establecidos por la parcela, de manera que se representa la topografía de los terrenos posteriormente a la ejecución de las obras de urbanización.</w:t>
      </w:r>
    </w:p>
    <w:p w:rsidR="00565AFA" w:rsidRPr="00657490" w:rsidRDefault="00565AFA" w:rsidP="00D810E0">
      <w:pPr>
        <w:pStyle w:val="Sangra1"/>
      </w:pPr>
      <w:r w:rsidRPr="00657490">
        <w:t xml:space="preserve">Proyecto: </w:t>
      </w:r>
      <w:r>
        <w:t>Durango</w:t>
      </w:r>
      <w:r w:rsidRPr="00657490">
        <w:t>.</w:t>
      </w:r>
    </w:p>
    <w:p w:rsidR="00B61BD9" w:rsidRPr="00D810E0" w:rsidRDefault="00B61BD9" w:rsidP="00D810E0">
      <w:pPr>
        <w:pStyle w:val="Sangra1"/>
        <w:rPr>
          <w:lang w:val="de-DE"/>
        </w:rPr>
      </w:pPr>
      <w:r w:rsidRPr="00D810E0">
        <w:rPr>
          <w:lang w:val="de-DE"/>
        </w:rPr>
        <w:t xml:space="preserve">Plan: ZALDEI T500 IBAIZABAL T500 visor URBAN </w:t>
      </w:r>
    </w:p>
    <w:p w:rsidR="00B61BD9" w:rsidRPr="002D689D" w:rsidRDefault="00B61BD9" w:rsidP="00D810E0">
      <w:pPr>
        <w:pStyle w:val="Sangra1"/>
      </w:pPr>
      <w:r w:rsidRPr="00D8378A">
        <w:t xml:space="preserve">Geometría: </w:t>
      </w:r>
      <w:r>
        <w:t xml:space="preserve">ZALDEI T500 </w:t>
      </w:r>
      <w:r w:rsidRPr="002D689D">
        <w:t>IBAIZABAL T500 visor URBAN</w:t>
      </w:r>
    </w:p>
    <w:p w:rsidR="00B61BD9" w:rsidRPr="002D689D" w:rsidRDefault="00B61BD9" w:rsidP="00D810E0">
      <w:pPr>
        <w:pStyle w:val="Sangra1"/>
      </w:pPr>
      <w:r w:rsidRPr="002D689D">
        <w:t>Caudales: ZALDEI T500 IBAIZABAL T500 visor</w:t>
      </w:r>
    </w:p>
    <w:p w:rsidR="00565AFA" w:rsidRPr="002D689D" w:rsidRDefault="00565AFA" w:rsidP="00565AFA">
      <w:r w:rsidRPr="002D689D">
        <w:t xml:space="preserve">En el </w:t>
      </w:r>
      <w:r w:rsidRPr="002D689D">
        <w:rPr>
          <w:rFonts w:ascii="Futura Md BT" w:hAnsi="Futura Md BT"/>
        </w:rPr>
        <w:t>Apéndice nº3: Perfiles transversales</w:t>
      </w:r>
      <w:r w:rsidRPr="002D689D">
        <w:t xml:space="preserve"> se reflejan la geometría y las cotas de las láminas de agua para la avenid</w:t>
      </w:r>
      <w:r w:rsidR="002D689D" w:rsidRPr="002D689D">
        <w:t>a T-500 en la Situación Actual y en la situación proyectada, una vez se encuentren ejecutados los rellenos de urbanización.</w:t>
      </w:r>
      <w:r w:rsidRPr="002D689D">
        <w:t xml:space="preserve"> </w:t>
      </w:r>
    </w:p>
    <w:p w:rsidR="00565AFA" w:rsidRDefault="00565AFA" w:rsidP="00565AFA">
      <w:r w:rsidRPr="002D689D">
        <w:t xml:space="preserve">En el </w:t>
      </w:r>
      <w:r w:rsidRPr="002D689D">
        <w:rPr>
          <w:rFonts w:ascii="Futura Md BT" w:hAnsi="Futura Md BT"/>
        </w:rPr>
        <w:t>Apéndice nº2: Perfiles longitudinales</w:t>
      </w:r>
      <w:r w:rsidRPr="002D689D">
        <w:t xml:space="preserve"> se ha incluido el perfil longitudinal que compara las láminas de agua en estas dos situaciones.</w:t>
      </w:r>
    </w:p>
    <w:p w:rsidR="00565AFA" w:rsidRDefault="00565AFA" w:rsidP="00565AFA">
      <w:r>
        <w:t>En el siguiente cuadro comparativo se muestra el valor de las láminas mostradas en el longitudinal. En él puede verse que la sobreelevación que se produce</w:t>
      </w:r>
      <w:r w:rsidR="00987A2D">
        <w:t>, como era de esperar,</w:t>
      </w:r>
      <w:r>
        <w:t xml:space="preserve"> no supera los 10 cm</w:t>
      </w:r>
      <w:r w:rsidR="00987A2D">
        <w:t xml:space="preserve"> y por tanto queda justificada la no afección a terceros de la urbanización prevista.</w:t>
      </w:r>
    </w:p>
    <w:p w:rsidR="00D810E0" w:rsidRDefault="00D810E0" w:rsidP="00565AFA"/>
    <w:tbl>
      <w:tblPr>
        <w:tblW w:w="6389" w:type="dxa"/>
        <w:jc w:val="center"/>
        <w:tblInd w:w="60" w:type="dxa"/>
        <w:tblCellMar>
          <w:left w:w="70" w:type="dxa"/>
          <w:right w:w="70" w:type="dxa"/>
        </w:tblCellMar>
        <w:tblLook w:val="04A0"/>
      </w:tblPr>
      <w:tblGrid>
        <w:gridCol w:w="925"/>
        <w:gridCol w:w="928"/>
        <w:gridCol w:w="1418"/>
        <w:gridCol w:w="1417"/>
        <w:gridCol w:w="1701"/>
      </w:tblGrid>
      <w:tr w:rsidR="00565AFA" w:rsidRPr="00064123" w:rsidTr="007A6B58">
        <w:trPr>
          <w:cantSplit/>
          <w:trHeight w:val="300"/>
          <w:tblHeader/>
          <w:jc w:val="center"/>
        </w:trPr>
        <w:tc>
          <w:tcPr>
            <w:tcW w:w="925" w:type="dxa"/>
            <w:tcBorders>
              <w:top w:val="single" w:sz="4" w:space="0" w:color="auto"/>
              <w:left w:val="single" w:sz="4" w:space="0" w:color="auto"/>
              <w:bottom w:val="single" w:sz="8" w:space="0" w:color="auto"/>
              <w:right w:val="single" w:sz="4" w:space="0" w:color="auto"/>
            </w:tcBorders>
            <w:shd w:val="clear" w:color="auto" w:fill="D9D9D9"/>
            <w:noWrap/>
            <w:vAlign w:val="center"/>
            <w:hideMark/>
          </w:tcPr>
          <w:p w:rsidR="00565AFA" w:rsidRPr="00064123" w:rsidRDefault="00565AFA" w:rsidP="00565AFA">
            <w:pPr>
              <w:overflowPunct/>
              <w:autoSpaceDE/>
              <w:autoSpaceDN/>
              <w:adjustRightInd/>
              <w:spacing w:after="0" w:line="240" w:lineRule="auto"/>
              <w:textAlignment w:val="auto"/>
              <w:rPr>
                <w:rFonts w:ascii="Futura Md BT" w:hAnsi="Futura Md BT"/>
                <w:color w:val="000000"/>
                <w:sz w:val="16"/>
                <w:szCs w:val="16"/>
              </w:rPr>
            </w:pPr>
            <w:r w:rsidRPr="00064123">
              <w:rPr>
                <w:rFonts w:ascii="Futura Md BT" w:hAnsi="Futura Md BT"/>
                <w:color w:val="000000"/>
                <w:sz w:val="16"/>
                <w:szCs w:val="16"/>
              </w:rPr>
              <w:lastRenderedPageBreak/>
              <w:t>RÍO</w:t>
            </w:r>
          </w:p>
        </w:tc>
        <w:tc>
          <w:tcPr>
            <w:tcW w:w="928" w:type="dxa"/>
            <w:tcBorders>
              <w:top w:val="single" w:sz="4" w:space="0" w:color="auto"/>
              <w:left w:val="single" w:sz="4" w:space="0" w:color="auto"/>
              <w:bottom w:val="single" w:sz="8" w:space="0" w:color="auto"/>
              <w:right w:val="nil"/>
            </w:tcBorders>
            <w:shd w:val="clear" w:color="auto" w:fill="D9D9D9"/>
            <w:noWrap/>
            <w:vAlign w:val="center"/>
            <w:hideMark/>
          </w:tcPr>
          <w:p w:rsidR="00565AFA" w:rsidRPr="00064123" w:rsidRDefault="00565AFA" w:rsidP="00565AFA">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PERFIL</w:t>
            </w:r>
          </w:p>
        </w:tc>
        <w:tc>
          <w:tcPr>
            <w:tcW w:w="1418" w:type="dxa"/>
            <w:tcBorders>
              <w:top w:val="single" w:sz="4" w:space="0" w:color="auto"/>
              <w:left w:val="single" w:sz="4" w:space="0" w:color="auto"/>
              <w:bottom w:val="single" w:sz="8" w:space="0" w:color="auto"/>
            </w:tcBorders>
            <w:shd w:val="clear" w:color="auto" w:fill="D9D9D9"/>
            <w:noWrap/>
            <w:vAlign w:val="center"/>
            <w:hideMark/>
          </w:tcPr>
          <w:p w:rsidR="00565AFA" w:rsidRPr="00064123" w:rsidRDefault="00565AFA" w:rsidP="00565AFA">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PLAN</w:t>
            </w:r>
          </w:p>
        </w:tc>
        <w:tc>
          <w:tcPr>
            <w:tcW w:w="1417" w:type="dxa"/>
            <w:tcBorders>
              <w:top w:val="single" w:sz="4" w:space="0" w:color="auto"/>
              <w:left w:val="single" w:sz="4" w:space="0" w:color="auto"/>
              <w:bottom w:val="single" w:sz="8" w:space="0" w:color="auto"/>
            </w:tcBorders>
            <w:shd w:val="clear" w:color="auto" w:fill="D9D9D9"/>
            <w:vAlign w:val="center"/>
          </w:tcPr>
          <w:p w:rsidR="00565AFA" w:rsidRPr="00064123" w:rsidRDefault="00565AFA" w:rsidP="00565AFA">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COTA T-500</w:t>
            </w:r>
          </w:p>
        </w:tc>
        <w:tc>
          <w:tcPr>
            <w:tcW w:w="1701" w:type="dxa"/>
            <w:tcBorders>
              <w:top w:val="single" w:sz="4" w:space="0" w:color="auto"/>
              <w:left w:val="single" w:sz="4" w:space="0" w:color="auto"/>
              <w:bottom w:val="single" w:sz="8" w:space="0" w:color="auto"/>
              <w:right w:val="single" w:sz="4" w:space="0" w:color="auto"/>
            </w:tcBorders>
            <w:shd w:val="clear" w:color="auto" w:fill="D9D9D9"/>
            <w:vAlign w:val="center"/>
          </w:tcPr>
          <w:p w:rsidR="00565AFA" w:rsidRPr="00064123" w:rsidRDefault="00565AFA" w:rsidP="00565AFA">
            <w:pPr>
              <w:overflowPunct/>
              <w:autoSpaceDE/>
              <w:autoSpaceDN/>
              <w:adjustRightInd/>
              <w:spacing w:after="0" w:line="240" w:lineRule="auto"/>
              <w:jc w:val="center"/>
              <w:textAlignment w:val="auto"/>
              <w:rPr>
                <w:rFonts w:ascii="Futura Md BT" w:hAnsi="Futura Md BT"/>
                <w:color w:val="000000"/>
                <w:sz w:val="16"/>
                <w:szCs w:val="16"/>
              </w:rPr>
            </w:pPr>
            <w:r w:rsidRPr="00064123">
              <w:rPr>
                <w:rFonts w:ascii="Futura Md BT" w:hAnsi="Futura Md BT"/>
                <w:color w:val="000000"/>
                <w:sz w:val="16"/>
                <w:szCs w:val="16"/>
              </w:rPr>
              <w:t>INCREMENTO COTA</w:t>
            </w:r>
          </w:p>
        </w:tc>
      </w:tr>
      <w:tr w:rsidR="00565AFA" w:rsidRPr="008A475D" w:rsidTr="007A6B58">
        <w:trPr>
          <w:cantSplit/>
          <w:trHeight w:val="227"/>
          <w:jc w:val="center"/>
        </w:trPr>
        <w:tc>
          <w:tcPr>
            <w:tcW w:w="925"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rPr>
                <w:color w:val="000000"/>
                <w:sz w:val="16"/>
                <w:szCs w:val="16"/>
              </w:rPr>
            </w:pPr>
            <w:r>
              <w:rPr>
                <w:color w:val="000000"/>
                <w:sz w:val="16"/>
                <w:szCs w:val="16"/>
              </w:rPr>
              <w:t>ZALDEI</w:t>
            </w:r>
          </w:p>
        </w:tc>
        <w:tc>
          <w:tcPr>
            <w:tcW w:w="928" w:type="dxa"/>
            <w:tcBorders>
              <w:top w:val="single" w:sz="8"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290.2568</w:t>
            </w:r>
          </w:p>
        </w:tc>
        <w:tc>
          <w:tcPr>
            <w:tcW w:w="4536" w:type="dxa"/>
            <w:gridSpan w:val="3"/>
            <w:tcBorders>
              <w:top w:val="single" w:sz="8"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280.0043</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Pr="008A475D">
              <w:rPr>
                <w:color w:val="000000"/>
                <w:sz w:val="16"/>
                <w:szCs w:val="16"/>
              </w:rPr>
              <w:t>8</w:t>
            </w:r>
            <w:r>
              <w:rPr>
                <w:color w:val="000000"/>
                <w:sz w:val="16"/>
                <w:szCs w:val="16"/>
              </w:rPr>
              <w:t>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Pr="008A475D">
              <w:rPr>
                <w:color w:val="000000"/>
                <w:sz w:val="16"/>
                <w:szCs w:val="16"/>
              </w:rPr>
              <w:t>8</w:t>
            </w:r>
            <w:r>
              <w:rPr>
                <w:color w:val="000000"/>
                <w:sz w:val="16"/>
                <w:szCs w:val="16"/>
              </w:rPr>
              <w:t>0</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226.506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Pr="008A475D">
              <w:rPr>
                <w:color w:val="000000"/>
                <w:sz w:val="16"/>
                <w:szCs w:val="16"/>
              </w:rPr>
              <w:t>41</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110</w:t>
            </w:r>
            <w:r>
              <w:rPr>
                <w:color w:val="000000"/>
                <w:sz w:val="16"/>
                <w:szCs w:val="16"/>
              </w:rPr>
              <w:t>,</w:t>
            </w:r>
            <w:r w:rsidRPr="008A475D">
              <w:rPr>
                <w:color w:val="000000"/>
                <w:sz w:val="16"/>
                <w:szCs w:val="16"/>
              </w:rPr>
              <w:t>41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222.5853</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219.0619</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9</w:t>
            </w:r>
            <w:r>
              <w:rPr>
                <w:color w:val="000000"/>
                <w:sz w:val="16"/>
                <w:szCs w:val="16"/>
              </w:rPr>
              <w:t>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9</w:t>
            </w:r>
            <w:r>
              <w:rPr>
                <w:color w:val="000000"/>
                <w:sz w:val="16"/>
                <w:szCs w:val="16"/>
              </w:rPr>
              <w:t>0</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164.4836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5</w:t>
            </w:r>
            <w:r>
              <w:rPr>
                <w:color w:val="000000"/>
                <w:sz w:val="16"/>
                <w:szCs w:val="16"/>
              </w:rPr>
              <w:t>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06</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56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154.0366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49</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06</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55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152.2303</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150.3251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48</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06</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54</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103.7443</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07</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52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97.5769</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91.431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39</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07</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43.9244</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w:t>
            </w:r>
            <w:r>
              <w:rPr>
                <w:color w:val="000000"/>
                <w:sz w:val="16"/>
                <w:szCs w:val="16"/>
              </w:rPr>
              <w:t>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07</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47</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26.8116</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10.5931</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w:t>
            </w:r>
            <w:r>
              <w:rPr>
                <w:color w:val="000000"/>
                <w:sz w:val="16"/>
                <w:szCs w:val="16"/>
              </w:rPr>
              <w:t>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06</w:t>
            </w:r>
          </w:p>
        </w:tc>
      </w:tr>
      <w:tr w:rsidR="00565AFA" w:rsidRPr="008A475D" w:rsidTr="007A6B58">
        <w:trPr>
          <w:cantSplit/>
          <w:trHeight w:val="227"/>
          <w:jc w:val="center"/>
        </w:trPr>
        <w:tc>
          <w:tcPr>
            <w:tcW w:w="925" w:type="dxa"/>
            <w:vMerge/>
            <w:tcBorders>
              <w:top w:val="single" w:sz="4" w:space="0" w:color="auto"/>
              <w:left w:val="single" w:sz="4" w:space="0" w:color="auto"/>
              <w:bottom w:val="single" w:sz="8"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928" w:type="dxa"/>
            <w:vMerge/>
            <w:tcBorders>
              <w:top w:val="single" w:sz="4" w:space="0" w:color="auto"/>
              <w:left w:val="single" w:sz="4" w:space="0" w:color="auto"/>
              <w:bottom w:val="single" w:sz="8"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8"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8"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109</w:t>
            </w:r>
            <w:r>
              <w:rPr>
                <w:color w:val="000000"/>
                <w:sz w:val="16"/>
                <w:szCs w:val="16"/>
              </w:rPr>
              <w:t>,</w:t>
            </w:r>
            <w:r w:rsidRPr="008A475D">
              <w:rPr>
                <w:color w:val="000000"/>
                <w:sz w:val="16"/>
                <w:szCs w:val="16"/>
              </w:rPr>
              <w:t>46</w:t>
            </w:r>
          </w:p>
        </w:tc>
        <w:tc>
          <w:tcPr>
            <w:tcW w:w="1701" w:type="dxa"/>
            <w:vMerge/>
            <w:tcBorders>
              <w:top w:val="single" w:sz="4" w:space="0" w:color="auto"/>
              <w:left w:val="single" w:sz="4" w:space="0" w:color="auto"/>
              <w:bottom w:val="single" w:sz="8"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IBAIZABAL</w:t>
            </w:r>
          </w:p>
        </w:tc>
        <w:tc>
          <w:tcPr>
            <w:tcW w:w="928"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6688.85</w:t>
            </w:r>
          </w:p>
        </w:tc>
        <w:tc>
          <w:tcPr>
            <w:tcW w:w="1418" w:type="dxa"/>
            <w:tcBorders>
              <w:top w:val="single" w:sz="8"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8"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108</w:t>
            </w:r>
            <w:r>
              <w:rPr>
                <w:color w:val="000000"/>
                <w:sz w:val="16"/>
                <w:szCs w:val="16"/>
              </w:rPr>
              <w:t>,</w:t>
            </w:r>
            <w:r w:rsidRPr="008A475D">
              <w:rPr>
                <w:color w:val="000000"/>
                <w:sz w:val="16"/>
                <w:szCs w:val="16"/>
              </w:rPr>
              <w:t>94</w:t>
            </w:r>
          </w:p>
        </w:tc>
        <w:tc>
          <w:tcPr>
            <w:tcW w:w="1701" w:type="dxa"/>
            <w:vMerge w:val="restart"/>
            <w:tcBorders>
              <w:top w:val="single" w:sz="8"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05</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108</w:t>
            </w:r>
            <w:r>
              <w:rPr>
                <w:color w:val="000000"/>
                <w:sz w:val="16"/>
                <w:szCs w:val="16"/>
              </w:rPr>
              <w:t>,</w:t>
            </w:r>
            <w:r w:rsidRPr="008A475D">
              <w:rPr>
                <w:color w:val="000000"/>
                <w:sz w:val="16"/>
                <w:szCs w:val="16"/>
              </w:rPr>
              <w:t>99</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6682.54</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6675.898</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107</w:t>
            </w:r>
            <w:r>
              <w:rPr>
                <w:color w:val="000000"/>
                <w:sz w:val="16"/>
                <w:szCs w:val="16"/>
              </w:rPr>
              <w:t>,</w:t>
            </w:r>
            <w:r w:rsidRPr="008A475D">
              <w:rPr>
                <w:color w:val="000000"/>
                <w:sz w:val="16"/>
                <w:szCs w:val="16"/>
              </w:rPr>
              <w:t>85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107</w:t>
            </w:r>
            <w:r>
              <w:rPr>
                <w:color w:val="000000"/>
                <w:sz w:val="16"/>
                <w:szCs w:val="16"/>
              </w:rPr>
              <w:t>,</w:t>
            </w:r>
            <w:r w:rsidRPr="008A475D">
              <w:rPr>
                <w:color w:val="000000"/>
                <w:sz w:val="16"/>
                <w:szCs w:val="16"/>
              </w:rPr>
              <w:t>85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6588.007</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95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95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6476.012</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81</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81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6400.46</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35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35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6294.514</w:t>
            </w:r>
          </w:p>
        </w:tc>
        <w:tc>
          <w:tcPr>
            <w:tcW w:w="1418"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dotted"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45</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dotted"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45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6285.502</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6275.797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01</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0</w:t>
            </w:r>
            <w:r>
              <w:rPr>
                <w:color w:val="000000"/>
                <w:sz w:val="16"/>
                <w:szCs w:val="16"/>
              </w:rPr>
              <w:t>,</w:t>
            </w:r>
            <w:r w:rsidRPr="008A475D">
              <w:rPr>
                <w:color w:val="000000"/>
                <w:sz w:val="16"/>
                <w:szCs w:val="16"/>
              </w:rPr>
              <w:t>00</w:t>
            </w: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rPr>
                <w:color w:val="000000"/>
                <w:sz w:val="16"/>
                <w:szCs w:val="16"/>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r w:rsidRPr="008A475D">
              <w:rPr>
                <w:color w:val="000000"/>
                <w:sz w:val="16"/>
                <w:szCs w:val="16"/>
              </w:rPr>
              <w:t>T500VisorUrban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106</w:t>
            </w:r>
            <w:r>
              <w:rPr>
                <w:color w:val="000000"/>
                <w:sz w:val="16"/>
                <w:szCs w:val="16"/>
              </w:rPr>
              <w:t>,</w:t>
            </w:r>
            <w:r w:rsidRPr="008A475D">
              <w:rPr>
                <w:color w:val="000000"/>
                <w:sz w:val="16"/>
                <w:szCs w:val="16"/>
              </w:rPr>
              <w:t>01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r>
      <w:tr w:rsidR="00565AFA" w:rsidRPr="008A475D" w:rsidTr="007A6B58">
        <w:trPr>
          <w:cantSplit/>
          <w:trHeight w:val="227"/>
          <w:jc w:val="center"/>
        </w:trPr>
        <w:tc>
          <w:tcPr>
            <w:tcW w:w="925"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5AFA" w:rsidRPr="008A475D" w:rsidRDefault="00565AFA" w:rsidP="00565AFA">
            <w:pPr>
              <w:overflowPunct/>
              <w:autoSpaceDE/>
              <w:autoSpaceDN/>
              <w:adjustRightInd/>
              <w:spacing w:after="0" w:line="240" w:lineRule="auto"/>
              <w:textAlignment w:val="auto"/>
              <w:rPr>
                <w:color w:val="000000"/>
                <w:sz w:val="16"/>
                <w:szCs w:val="16"/>
              </w:rPr>
            </w:pPr>
          </w:p>
        </w:tc>
        <w:tc>
          <w:tcPr>
            <w:tcW w:w="928" w:type="dxa"/>
            <w:tcBorders>
              <w:top w:val="single" w:sz="4" w:space="0" w:color="auto"/>
              <w:left w:val="single" w:sz="4" w:space="0" w:color="auto"/>
              <w:bottom w:val="single" w:sz="4" w:space="0" w:color="auto"/>
              <w:right w:val="nil"/>
            </w:tcBorders>
            <w:shd w:val="clear" w:color="auto" w:fill="auto"/>
            <w:noWrap/>
            <w:vAlign w:val="bottom"/>
            <w:hideMark/>
          </w:tcPr>
          <w:p w:rsidR="00565AFA" w:rsidRPr="008A475D" w:rsidRDefault="00565AFA" w:rsidP="00565AFA">
            <w:pPr>
              <w:overflowPunct/>
              <w:autoSpaceDE/>
              <w:autoSpaceDN/>
              <w:adjustRightInd/>
              <w:spacing w:after="0" w:line="240" w:lineRule="auto"/>
              <w:jc w:val="right"/>
              <w:textAlignment w:val="auto"/>
              <w:rPr>
                <w:color w:val="000000"/>
                <w:sz w:val="16"/>
                <w:szCs w:val="16"/>
              </w:rPr>
            </w:pPr>
            <w:r w:rsidRPr="008A475D">
              <w:rPr>
                <w:color w:val="000000"/>
                <w:sz w:val="16"/>
                <w:szCs w:val="16"/>
              </w:rPr>
              <w:t>6273.934</w:t>
            </w:r>
          </w:p>
        </w:tc>
        <w:tc>
          <w:tcPr>
            <w:tcW w:w="453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65AFA" w:rsidRPr="008A475D" w:rsidRDefault="00565AFA" w:rsidP="00565AFA">
            <w:pPr>
              <w:overflowPunct/>
              <w:autoSpaceDE/>
              <w:autoSpaceDN/>
              <w:adjustRightInd/>
              <w:spacing w:after="0" w:line="240" w:lineRule="auto"/>
              <w:jc w:val="center"/>
              <w:textAlignment w:val="auto"/>
              <w:rPr>
                <w:color w:val="000000"/>
                <w:sz w:val="16"/>
                <w:szCs w:val="16"/>
              </w:rPr>
            </w:pPr>
            <w:r w:rsidRPr="008A475D">
              <w:rPr>
                <w:color w:val="000000"/>
                <w:sz w:val="16"/>
                <w:szCs w:val="16"/>
              </w:rPr>
              <w:t>Puente</w:t>
            </w:r>
          </w:p>
        </w:tc>
      </w:tr>
    </w:tbl>
    <w:p w:rsidR="00565AFA" w:rsidRDefault="00565AFA" w:rsidP="00565AFA"/>
    <w:p w:rsidR="00565AFA" w:rsidRDefault="00987A2D" w:rsidP="00987A2D">
      <w:pPr>
        <w:pStyle w:val="Ttulo1"/>
      </w:pPr>
      <w:bookmarkStart w:id="16" w:name="_Toc441142608"/>
      <w:r>
        <w:lastRenderedPageBreak/>
        <w:t>Conclusión</w:t>
      </w:r>
      <w:bookmarkEnd w:id="16"/>
    </w:p>
    <w:p w:rsidR="002525B0" w:rsidRDefault="002525B0" w:rsidP="002525B0">
      <w:r>
        <w:t>El estudio hidráulico realizado constata que la superficie correspondiente al sector urbanístico SAPU-R-BIDEONDO se encuentra en gran parte afectada por la avenida de 100 años de periodo de retorno, pero fuera de la Zona de Flujo Preferente.</w:t>
      </w:r>
    </w:p>
    <w:p w:rsidR="002525B0" w:rsidRDefault="002525B0" w:rsidP="002525B0">
      <w:r>
        <w:t xml:space="preserve">Teniendo en cuenta que, tal y como se ha presentado, el SAPU-R-BIDEONDO </w:t>
      </w:r>
      <w:r w:rsidRPr="00F04D5B">
        <w:t xml:space="preserve">presenta una situación de suelo urbanizado </w:t>
      </w:r>
      <w:r w:rsidRPr="00F04D5B">
        <w:rPr>
          <w:i/>
        </w:rPr>
        <w:t xml:space="preserve">de acuerdo a lo dispuesto en el artículo </w:t>
      </w:r>
      <w:r w:rsidR="00375BC0">
        <w:rPr>
          <w:i/>
        </w:rPr>
        <w:t>21</w:t>
      </w:r>
      <w:r w:rsidRPr="00F04D5B">
        <w:rPr>
          <w:i/>
        </w:rPr>
        <w:t xml:space="preserve"> del texto refundido de la Ley del Suelo</w:t>
      </w:r>
      <w:r w:rsidR="00375BC0">
        <w:rPr>
          <w:i/>
        </w:rPr>
        <w:t xml:space="preserve"> y Rehabilitación Urbana</w:t>
      </w:r>
      <w:r>
        <w:rPr>
          <w:i/>
        </w:rPr>
        <w:t xml:space="preserve"> y </w:t>
      </w:r>
      <w:r>
        <w:t xml:space="preserve">existir una previsión de actuación de defensa frente a inundaciones en el municipio de </w:t>
      </w:r>
      <w:proofErr w:type="spellStart"/>
      <w:r>
        <w:t>Iurreta</w:t>
      </w:r>
      <w:proofErr w:type="spellEnd"/>
      <w:r>
        <w:t xml:space="preserve">, sería posible, en virtud de lo expuesto en los artículos </w:t>
      </w:r>
      <w:r w:rsidR="00375BC0">
        <w:t>40</w:t>
      </w:r>
      <w:r>
        <w:t xml:space="preserve"> y </w:t>
      </w:r>
      <w:r w:rsidR="00375BC0">
        <w:t>42</w:t>
      </w:r>
      <w:r>
        <w:t xml:space="preserve"> del Plan Hidrológico de la parte española de la Demarcación Hidrográfica del Cantábrico Oriental de </w:t>
      </w:r>
      <w:r w:rsidR="00375BC0">
        <w:t>8 de enero</w:t>
      </w:r>
      <w:r>
        <w:t xml:space="preserve"> de 201</w:t>
      </w:r>
      <w:r w:rsidR="00375BC0">
        <w:t>6</w:t>
      </w:r>
      <w:r>
        <w:t>, ejecutar el proyecto de urbanización en la superficie ocupada por la avenida de 100 años de periodo de retorno, fuera de la Zona de Flujo Preferente</w:t>
      </w:r>
      <w:r w:rsidR="001F18CC">
        <w:t>, lo que en este caso, significa todo el sector</w:t>
      </w:r>
      <w:r>
        <w:t>.</w:t>
      </w:r>
    </w:p>
    <w:p w:rsidR="001F18CC" w:rsidRDefault="001F18CC" w:rsidP="002525B0">
      <w:r>
        <w:t xml:space="preserve">Por otro lado, la modelización hidráulica de los rellenos en la parcela para establecer las futuras cotas de urbanización y edificación, demuestra que dichas obras </w:t>
      </w:r>
      <w:r w:rsidR="007A6B58">
        <w:rPr>
          <w:i/>
        </w:rPr>
        <w:t>no suponen</w:t>
      </w:r>
      <w:r w:rsidR="007A6B58" w:rsidRPr="000C22F7">
        <w:rPr>
          <w:i/>
        </w:rPr>
        <w:t xml:space="preserve"> una reducción significativa de la capacidad de desagüe</w:t>
      </w:r>
      <w:r w:rsidR="007A6B58">
        <w:rPr>
          <w:i/>
        </w:rPr>
        <w:t xml:space="preserve"> y </w:t>
      </w:r>
      <w:r>
        <w:t>no suponen afección alguna a terceros.</w:t>
      </w:r>
    </w:p>
    <w:p w:rsidR="001F18CC" w:rsidRDefault="001F18CC" w:rsidP="002525B0"/>
    <w:p w:rsidR="00D810E0" w:rsidRDefault="00D810E0" w:rsidP="002525B0"/>
    <w:p w:rsidR="001F18CC" w:rsidRDefault="001F18CC" w:rsidP="001F18CC">
      <w:pPr>
        <w:spacing w:after="200"/>
        <w:jc w:val="center"/>
      </w:pPr>
      <w:proofErr w:type="spellStart"/>
      <w:r>
        <w:t>Leioa</w:t>
      </w:r>
      <w:proofErr w:type="spellEnd"/>
      <w:r>
        <w:t xml:space="preserve">, </w:t>
      </w:r>
      <w:r w:rsidR="00375BC0">
        <w:t>Enero</w:t>
      </w:r>
      <w:r>
        <w:t xml:space="preserve"> de 201</w:t>
      </w:r>
      <w:r w:rsidR="00375BC0">
        <w:t>6</w:t>
      </w:r>
    </w:p>
    <w:p w:rsidR="001F18CC" w:rsidRDefault="001F18CC" w:rsidP="001F18CC">
      <w:pPr>
        <w:spacing w:after="200"/>
      </w:pPr>
    </w:p>
    <w:p w:rsidR="001F18CC" w:rsidRDefault="001F18CC" w:rsidP="001F18CC">
      <w:pPr>
        <w:spacing w:after="200"/>
        <w:jc w:val="center"/>
      </w:pPr>
    </w:p>
    <w:p w:rsidR="001F18CC" w:rsidRDefault="001F18CC" w:rsidP="001F18CC">
      <w:pPr>
        <w:jc w:val="center"/>
      </w:pPr>
      <w:r>
        <w:t xml:space="preserve">Fdo. Pedro Aguirremota </w:t>
      </w:r>
      <w:proofErr w:type="spellStart"/>
      <w:r>
        <w:t>Corbera</w:t>
      </w:r>
      <w:proofErr w:type="spellEnd"/>
      <w:r>
        <w:br/>
        <w:t>Ingeniero de Caminos, Canales y Puertos</w:t>
      </w:r>
    </w:p>
    <w:p w:rsidR="001F18CC" w:rsidRDefault="001F18CC" w:rsidP="002525B0"/>
    <w:p w:rsidR="00987A2D" w:rsidRPr="00987A2D" w:rsidRDefault="00987A2D" w:rsidP="00987A2D"/>
    <w:p w:rsidR="00DF11DA" w:rsidRPr="00D8322D" w:rsidRDefault="00DF11DA" w:rsidP="00D8322D"/>
    <w:sectPr w:rsidR="00DF11DA" w:rsidRPr="00D8322D" w:rsidSect="008A475D">
      <w:headerReference w:type="even" r:id="rId26"/>
      <w:headerReference w:type="default" r:id="rId27"/>
      <w:footnotePr>
        <w:numFmt w:val="lowerRoman"/>
      </w:footnotePr>
      <w:endnotePr>
        <w:numFmt w:val="decimal"/>
      </w:endnotePr>
      <w:pgSz w:w="11906" w:h="16838" w:code="9"/>
      <w:pgMar w:top="1786" w:right="567" w:bottom="2552" w:left="2835" w:header="0" w:footer="0" w:gutter="0"/>
      <w:paperSrc w:first="7" w:other="7"/>
      <w:pgNumType w:start="1"/>
      <w:cols w:space="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4898" w:rsidRDefault="00734898">
      <w:r>
        <w:separator/>
      </w:r>
    </w:p>
    <w:p w:rsidR="00734898" w:rsidRDefault="00734898"/>
  </w:endnote>
  <w:endnote w:type="continuationSeparator" w:id="0">
    <w:p w:rsidR="00734898" w:rsidRDefault="00734898">
      <w:r>
        <w:continuationSeparator/>
      </w:r>
    </w:p>
    <w:p w:rsidR="00734898" w:rsidRDefault="0073489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Futura Hv BT">
    <w:panose1 w:val="020B0702020204020204"/>
    <w:charset w:val="00"/>
    <w:family w:val="swiss"/>
    <w:pitch w:val="variable"/>
    <w:sig w:usb0="00000087" w:usb1="00000000" w:usb2="00000000" w:usb3="00000000" w:csb0="0000001B" w:csb1="00000000"/>
  </w:font>
  <w:font w:name="Futura Md BT">
    <w:panose1 w:val="020B0602020204020303"/>
    <w:charset w:val="00"/>
    <w:family w:val="swiss"/>
    <w:pitch w:val="variable"/>
    <w:sig w:usb0="00000087" w:usb1="00000000" w:usb2="00000000" w:usb3="00000000" w:csb0="0000001B" w:csb1="00000000"/>
  </w:font>
  <w:font w:name="Futura Lt BT">
    <w:panose1 w:val="020B0402020204020303"/>
    <w:charset w:val="00"/>
    <w:family w:val="swiss"/>
    <w:pitch w:val="variable"/>
    <w:sig w:usb0="00000087" w:usb1="00000000" w:usb2="00000000" w:usb3="00000000" w:csb0="0000001B"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Futura XBlk BT">
    <w:panose1 w:val="020B0903020204020204"/>
    <w:charset w:val="00"/>
    <w:family w:val="swiss"/>
    <w:pitch w:val="variable"/>
    <w:sig w:usb0="00000087" w:usb1="00000000" w:usb2="00000000" w:usb3="00000000" w:csb0="0000001B" w:csb1="00000000"/>
  </w:font>
  <w:font w:name="Futura LtCn BT">
    <w:panose1 w:val="020B0408020204030204"/>
    <w:charset w:val="00"/>
    <w:family w:val="swiss"/>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XBlkCn BT">
    <w:panose1 w:val="020B0806020204020204"/>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505" w:type="dxa"/>
      <w:tblLayout w:type="fixed"/>
      <w:tblCellMar>
        <w:left w:w="0" w:type="dxa"/>
        <w:right w:w="0" w:type="dxa"/>
      </w:tblCellMar>
      <w:tblLook w:val="0000"/>
    </w:tblPr>
    <w:tblGrid>
      <w:gridCol w:w="6805"/>
      <w:gridCol w:w="13"/>
      <w:gridCol w:w="1687"/>
    </w:tblGrid>
    <w:tr w:rsidR="00ED7DC7" w:rsidTr="00CB6A16">
      <w:trPr>
        <w:cantSplit/>
        <w:trHeight w:hRule="exact" w:val="1304"/>
      </w:trPr>
      <w:tc>
        <w:tcPr>
          <w:tcW w:w="6805" w:type="dxa"/>
          <w:vMerge w:val="restart"/>
        </w:tcPr>
        <w:p w:rsidR="00ED7DC7" w:rsidRDefault="00ED7DC7" w:rsidP="00D411DE">
          <w:pPr>
            <w:pStyle w:val="Piedepgina"/>
            <w:pageBreakBefore w:val="0"/>
          </w:pPr>
        </w:p>
      </w:tc>
      <w:tc>
        <w:tcPr>
          <w:tcW w:w="1700" w:type="dxa"/>
          <w:gridSpan w:val="2"/>
        </w:tcPr>
        <w:p w:rsidR="00ED7DC7" w:rsidRPr="00FA1542" w:rsidRDefault="00ED7DC7" w:rsidP="004A793D">
          <w:pPr>
            <w:pStyle w:val="Piedepgina"/>
            <w:pageBreakBefore w:val="0"/>
            <w:spacing w:before="120"/>
            <w:rPr>
              <w:sz w:val="12"/>
              <w:szCs w:val="12"/>
            </w:rPr>
          </w:pPr>
          <w:r>
            <w:t xml:space="preserve">Estudio hidráulico para el desarrollo urbanístico del proyecto de urbanización del sector SAPU-R-BIDEONDO en el término municipal de </w:t>
          </w:r>
          <w:proofErr w:type="spellStart"/>
          <w:r>
            <w:t>Iurreta</w:t>
          </w:r>
          <w:proofErr w:type="spellEnd"/>
        </w:p>
      </w:tc>
    </w:tr>
    <w:tr w:rsidR="00ED7DC7" w:rsidTr="00CB6A16">
      <w:trPr>
        <w:cantSplit/>
        <w:trHeight w:hRule="exact" w:val="397"/>
      </w:trPr>
      <w:tc>
        <w:tcPr>
          <w:tcW w:w="6805" w:type="dxa"/>
          <w:vMerge/>
        </w:tcPr>
        <w:p w:rsidR="00ED7DC7" w:rsidRDefault="00ED7DC7" w:rsidP="00D411DE">
          <w:pPr>
            <w:pStyle w:val="Piedepgina"/>
            <w:pageBreakBefore w:val="0"/>
          </w:pPr>
        </w:p>
      </w:tc>
      <w:tc>
        <w:tcPr>
          <w:tcW w:w="1700" w:type="dxa"/>
          <w:gridSpan w:val="2"/>
        </w:tcPr>
        <w:p w:rsidR="00ED7DC7" w:rsidRPr="00331942" w:rsidRDefault="00FF7770" w:rsidP="00064C3D">
          <w:pPr>
            <w:pStyle w:val="Piedepgina"/>
            <w:pageBreakBefore w:val="0"/>
            <w:rPr>
              <w:szCs w:val="16"/>
            </w:rPr>
          </w:pPr>
          <w:r w:rsidRPr="00FA1542">
            <w:rPr>
              <w:rStyle w:val="Nmerodepgina"/>
              <w:sz w:val="24"/>
              <w:szCs w:val="24"/>
            </w:rPr>
            <w:fldChar w:fldCharType="begin"/>
          </w:r>
          <w:r w:rsidR="00ED7DC7" w:rsidRPr="00FA1542">
            <w:rPr>
              <w:rStyle w:val="Nmerodepgina"/>
              <w:sz w:val="24"/>
              <w:szCs w:val="24"/>
            </w:rPr>
            <w:instrText xml:space="preserve">PAGE  </w:instrText>
          </w:r>
          <w:r w:rsidRPr="00FA1542">
            <w:rPr>
              <w:rStyle w:val="Nmerodepgina"/>
              <w:sz w:val="24"/>
              <w:szCs w:val="24"/>
            </w:rPr>
            <w:fldChar w:fldCharType="separate"/>
          </w:r>
          <w:r w:rsidR="00A66FC3">
            <w:rPr>
              <w:rStyle w:val="Nmerodepgina"/>
              <w:noProof/>
              <w:sz w:val="24"/>
              <w:szCs w:val="24"/>
            </w:rPr>
            <w:t>3</w:t>
          </w:r>
          <w:r w:rsidRPr="00FA1542">
            <w:rPr>
              <w:rStyle w:val="Nmerodepgina"/>
              <w:sz w:val="24"/>
              <w:szCs w:val="24"/>
            </w:rPr>
            <w:fldChar w:fldCharType="end"/>
          </w:r>
        </w:p>
      </w:tc>
    </w:tr>
    <w:tr w:rsidR="00ED7DC7" w:rsidRPr="000158FA" w:rsidTr="00CB6A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hRule="exact" w:val="794"/>
      </w:trPr>
      <w:tc>
        <w:tcPr>
          <w:tcW w:w="6805" w:type="dxa"/>
          <w:tcBorders>
            <w:top w:val="nil"/>
            <w:left w:val="nil"/>
            <w:bottom w:val="nil"/>
            <w:right w:val="nil"/>
          </w:tcBorders>
          <w:vAlign w:val="bottom"/>
        </w:tcPr>
        <w:p w:rsidR="00ED7DC7" w:rsidRPr="000174A2" w:rsidRDefault="00A66FC3" w:rsidP="000174A2">
          <w:pPr>
            <w:pStyle w:val="Negrita"/>
            <w:tabs>
              <w:tab w:val="left" w:pos="420"/>
              <w:tab w:val="left" w:pos="562"/>
            </w:tabs>
            <w:spacing w:after="0" w:line="0" w:lineRule="atLeast"/>
            <w:rPr>
              <w:rFonts w:ascii="Futura LtCn BT" w:hAnsi="Futura LtCn BT"/>
              <w:sz w:val="16"/>
            </w:rPr>
          </w:pPr>
          <w:bookmarkStart w:id="0" w:name="MAAñarbe"/>
          <w:r>
            <w:rPr>
              <w:rFonts w:ascii="Futura LtCn BT" w:hAnsi="Futura LtCn BT"/>
              <w:noProof/>
              <w:sz w:val="16"/>
            </w:rPr>
            <w:drawing>
              <wp:inline distT="0" distB="0" distL="0" distR="0">
                <wp:extent cx="1152000" cy="381681"/>
                <wp:effectExtent l="19050" t="0" r="0" b="0"/>
                <wp:docPr id="14" name="13 Imagen" descr="iuRRETA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uRRETA LOGO.jpg"/>
                        <pic:cNvPicPr/>
                      </pic:nvPicPr>
                      <pic:blipFill>
                        <a:blip r:embed="rId1"/>
                        <a:stretch>
                          <a:fillRect/>
                        </a:stretch>
                      </pic:blipFill>
                      <pic:spPr>
                        <a:xfrm>
                          <a:off x="0" y="0"/>
                          <a:ext cx="1152000" cy="381681"/>
                        </a:xfrm>
                        <a:prstGeom prst="rect">
                          <a:avLst/>
                        </a:prstGeom>
                      </pic:spPr>
                    </pic:pic>
                  </a:graphicData>
                </a:graphic>
              </wp:inline>
            </w:drawing>
          </w:r>
        </w:p>
      </w:tc>
      <w:tc>
        <w:tcPr>
          <w:tcW w:w="1700" w:type="dxa"/>
          <w:gridSpan w:val="2"/>
          <w:tcBorders>
            <w:top w:val="nil"/>
            <w:left w:val="nil"/>
            <w:bottom w:val="nil"/>
            <w:right w:val="nil"/>
          </w:tcBorders>
          <w:tcMar>
            <w:left w:w="57" w:type="dxa"/>
          </w:tcMar>
          <w:vAlign w:val="bottom"/>
        </w:tcPr>
        <w:p w:rsidR="00ED7DC7" w:rsidRDefault="00ED7DC7" w:rsidP="000174A2">
          <w:pPr>
            <w:pStyle w:val="Piedepgina"/>
            <w:keepNext w:val="0"/>
            <w:pageBreakBefore w:val="0"/>
            <w:ind w:leftChars="-10" w:left="-21"/>
          </w:pPr>
          <w:r>
            <w:rPr>
              <w:rFonts w:ascii="Futura XBlkCn BT" w:hAnsi="Futura XBlkCn BT"/>
              <w:noProof/>
            </w:rPr>
            <w:drawing>
              <wp:inline distT="0" distB="0" distL="0" distR="0">
                <wp:extent cx="810895" cy="501015"/>
                <wp:effectExtent l="19050" t="0" r="8255" b="0"/>
                <wp:docPr id="4" name="Imagen 16" descr="Logo FULCRUM 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 FULCRUM normal"/>
                        <pic:cNvPicPr>
                          <a:picLocks noChangeAspect="1" noChangeArrowheads="1"/>
                        </pic:cNvPicPr>
                      </pic:nvPicPr>
                      <pic:blipFill>
                        <a:blip r:embed="rId2"/>
                        <a:srcRect/>
                        <a:stretch>
                          <a:fillRect/>
                        </a:stretch>
                      </pic:blipFill>
                      <pic:spPr bwMode="auto">
                        <a:xfrm>
                          <a:off x="0" y="0"/>
                          <a:ext cx="810895" cy="501015"/>
                        </a:xfrm>
                        <a:prstGeom prst="rect">
                          <a:avLst/>
                        </a:prstGeom>
                        <a:noFill/>
                        <a:ln w="9525">
                          <a:noFill/>
                          <a:miter lim="800000"/>
                          <a:headEnd/>
                          <a:tailEnd/>
                        </a:ln>
                      </pic:spPr>
                    </pic:pic>
                  </a:graphicData>
                </a:graphic>
              </wp:inline>
            </w:drawing>
          </w:r>
        </w:p>
      </w:tc>
    </w:tr>
    <w:bookmarkEnd w:id="0"/>
    <w:tr w:rsidR="00ED7DC7" w:rsidTr="00CB6A16">
      <w:trPr>
        <w:cantSplit/>
        <w:trHeight w:hRule="exact" w:val="170"/>
      </w:trPr>
      <w:tc>
        <w:tcPr>
          <w:tcW w:w="6818" w:type="dxa"/>
          <w:gridSpan w:val="2"/>
          <w:vAlign w:val="bottom"/>
        </w:tcPr>
        <w:p w:rsidR="00ED7DC7" w:rsidRDefault="00ED7DC7" w:rsidP="00D411DE">
          <w:pPr>
            <w:pStyle w:val="Piedepgina"/>
            <w:pageBreakBefore w:val="0"/>
          </w:pPr>
        </w:p>
      </w:tc>
      <w:tc>
        <w:tcPr>
          <w:tcW w:w="1687" w:type="dxa"/>
          <w:vAlign w:val="bottom"/>
        </w:tcPr>
        <w:p w:rsidR="00ED7DC7" w:rsidRDefault="00ED7DC7" w:rsidP="00D411DE">
          <w:pPr>
            <w:pStyle w:val="Piedepgina"/>
            <w:pageBreakBefore w:val="0"/>
          </w:pPr>
        </w:p>
      </w:tc>
    </w:tr>
  </w:tbl>
  <w:p w:rsidR="00ED7DC7" w:rsidRDefault="00ED7DC7" w:rsidP="004D57DA">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4898" w:rsidRDefault="00734898">
      <w:r>
        <w:separator/>
      </w:r>
    </w:p>
    <w:p w:rsidR="00734898" w:rsidRDefault="00734898"/>
  </w:footnote>
  <w:footnote w:type="continuationSeparator" w:id="0">
    <w:p w:rsidR="00734898" w:rsidRDefault="00734898">
      <w:r>
        <w:continuationSeparator/>
      </w:r>
    </w:p>
    <w:p w:rsidR="00734898" w:rsidRDefault="0073489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DC7" w:rsidRDefault="00ED7DC7">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DC7" w:rsidRDefault="00ED7DC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DC7" w:rsidRDefault="00ED7DC7">
    <w:pPr>
      <w:pStyle w:val="Encabezado"/>
    </w:pPr>
  </w:p>
  <w:p w:rsidR="00ED7DC7" w:rsidRDefault="00ED7DC7"/>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40E6428"/>
    <w:lvl w:ilvl="0">
      <w:start w:val="1"/>
      <w:numFmt w:val="decimal"/>
      <w:lvlText w:val="%1."/>
      <w:lvlJc w:val="left"/>
      <w:pPr>
        <w:tabs>
          <w:tab w:val="num" w:pos="1492"/>
        </w:tabs>
        <w:ind w:left="1492" w:hanging="360"/>
      </w:pPr>
    </w:lvl>
  </w:abstractNum>
  <w:abstractNum w:abstractNumId="1">
    <w:nsid w:val="FFFFFF7D"/>
    <w:multiLevelType w:val="singleLevel"/>
    <w:tmpl w:val="20A00462"/>
    <w:lvl w:ilvl="0">
      <w:start w:val="1"/>
      <w:numFmt w:val="decimal"/>
      <w:lvlText w:val="%1."/>
      <w:lvlJc w:val="left"/>
      <w:pPr>
        <w:tabs>
          <w:tab w:val="num" w:pos="1209"/>
        </w:tabs>
        <w:ind w:left="1209" w:hanging="360"/>
      </w:pPr>
    </w:lvl>
  </w:abstractNum>
  <w:abstractNum w:abstractNumId="2">
    <w:nsid w:val="FFFFFF7E"/>
    <w:multiLevelType w:val="singleLevel"/>
    <w:tmpl w:val="6B68EF66"/>
    <w:lvl w:ilvl="0">
      <w:start w:val="1"/>
      <w:numFmt w:val="decimal"/>
      <w:lvlText w:val="%1."/>
      <w:lvlJc w:val="left"/>
      <w:pPr>
        <w:tabs>
          <w:tab w:val="num" w:pos="926"/>
        </w:tabs>
        <w:ind w:left="926" w:hanging="360"/>
      </w:pPr>
    </w:lvl>
  </w:abstractNum>
  <w:abstractNum w:abstractNumId="3">
    <w:nsid w:val="FFFFFF7F"/>
    <w:multiLevelType w:val="singleLevel"/>
    <w:tmpl w:val="19BED3B4"/>
    <w:lvl w:ilvl="0">
      <w:start w:val="1"/>
      <w:numFmt w:val="decimal"/>
      <w:lvlText w:val="%1."/>
      <w:lvlJc w:val="left"/>
      <w:pPr>
        <w:tabs>
          <w:tab w:val="num" w:pos="643"/>
        </w:tabs>
        <w:ind w:left="643" w:hanging="360"/>
      </w:pPr>
    </w:lvl>
  </w:abstractNum>
  <w:abstractNum w:abstractNumId="4">
    <w:nsid w:val="FFFFFF80"/>
    <w:multiLevelType w:val="singleLevel"/>
    <w:tmpl w:val="E42CF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CDE414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314265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F06DA1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B965F24"/>
    <w:lvl w:ilvl="0">
      <w:start w:val="1"/>
      <w:numFmt w:val="decimal"/>
      <w:lvlText w:val="%1."/>
      <w:lvlJc w:val="left"/>
      <w:pPr>
        <w:tabs>
          <w:tab w:val="num" w:pos="360"/>
        </w:tabs>
        <w:ind w:left="360" w:hanging="360"/>
      </w:pPr>
    </w:lvl>
  </w:abstractNum>
  <w:abstractNum w:abstractNumId="9">
    <w:nsid w:val="FFFFFF89"/>
    <w:multiLevelType w:val="singleLevel"/>
    <w:tmpl w:val="ABB830AA"/>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41A6E5C0"/>
    <w:lvl w:ilvl="0">
      <w:start w:val="1"/>
      <w:numFmt w:val="decimal"/>
      <w:pStyle w:val="Ttulo1"/>
      <w:suff w:val="space"/>
      <w:lvlText w:val="%1"/>
      <w:lvlJc w:val="left"/>
      <w:pPr>
        <w:ind w:left="0" w:firstLine="0"/>
      </w:pPr>
      <w:rPr>
        <w:rFonts w:hint="default"/>
        <w:position w:val="0"/>
        <w:sz w:val="60"/>
        <w:szCs w:val="60"/>
      </w:rPr>
    </w:lvl>
    <w:lvl w:ilvl="1">
      <w:start w:val="1"/>
      <w:numFmt w:val="decimal"/>
      <w:pStyle w:val="Ttulo2"/>
      <w:suff w:val="space"/>
      <w:lvlText w:val="%1.%2"/>
      <w:lvlJc w:val="left"/>
      <w:pPr>
        <w:ind w:left="0" w:firstLine="0"/>
      </w:pPr>
      <w:rPr>
        <w:rFonts w:hint="default"/>
        <w:sz w:val="32"/>
        <w:szCs w:val="32"/>
      </w:rPr>
    </w:lvl>
    <w:lvl w:ilvl="2">
      <w:start w:val="1"/>
      <w:numFmt w:val="decimal"/>
      <w:pStyle w:val="Ttulo3"/>
      <w:suff w:val="space"/>
      <w:lvlText w:val="%1.%2.%3"/>
      <w:lvlJc w:val="left"/>
      <w:pPr>
        <w:ind w:left="0" w:firstLine="0"/>
      </w:pPr>
      <w:rPr>
        <w:rFonts w:hint="default"/>
      </w:rPr>
    </w:lvl>
    <w:lvl w:ilvl="3">
      <w:start w:val="1"/>
      <w:numFmt w:val="decimal"/>
      <w:pStyle w:val="Ttulo4"/>
      <w:suff w:val="space"/>
      <w:lvlText w:val="%1.%2.%3.%4"/>
      <w:lvlJc w:val="left"/>
      <w:pPr>
        <w:ind w:left="0" w:firstLine="0"/>
      </w:pPr>
      <w:rPr>
        <w:rFonts w:hint="default"/>
        <w:sz w:val="20"/>
        <w:szCs w:val="20"/>
      </w:rPr>
    </w:lvl>
    <w:lvl w:ilvl="4">
      <w:start w:val="1"/>
      <w:numFmt w:val="decimal"/>
      <w:pStyle w:val="Ttulo5"/>
      <w:suff w:val="space"/>
      <w:lvlText w:val="%1.%2.%3.%4.%5"/>
      <w:lvlJc w:val="left"/>
      <w:pPr>
        <w:ind w:left="0" w:firstLine="0"/>
      </w:pPr>
      <w:rPr>
        <w:rFonts w:ascii="Futura Hv BT" w:hAnsi="Futura Hv BT" w:hint="default"/>
        <w:b/>
        <w:i w:val="0"/>
        <w:caps w:val="0"/>
        <w:strike w:val="0"/>
        <w:dstrike w:val="0"/>
        <w:outline w:val="0"/>
        <w:shadow w:val="0"/>
        <w:emboss w:val="0"/>
        <w:imprint w:val="0"/>
        <w:vanish w:val="0"/>
        <w:sz w:val="18"/>
        <w:szCs w:val="18"/>
        <w:vertAlign w:val="baseline"/>
      </w:rPr>
    </w:lvl>
    <w:lvl w:ilvl="5">
      <w:start w:val="1"/>
      <w:numFmt w:val="decimal"/>
      <w:pStyle w:val="Ttulo6"/>
      <w:suff w:val="space"/>
      <w:lvlText w:val="%1.%2.%3.%4.%5.%6"/>
      <w:lvlJc w:val="left"/>
      <w:pPr>
        <w:ind w:left="0" w:firstLine="0"/>
      </w:pPr>
      <w:rPr>
        <w:rFonts w:ascii="Futura Md BT" w:hAnsi="Futura Md BT" w:hint="default"/>
        <w:b w:val="0"/>
        <w:i w:val="0"/>
        <w:caps w:val="0"/>
        <w:strike w:val="0"/>
        <w:dstrike w:val="0"/>
        <w:outline w:val="0"/>
        <w:shadow w:val="0"/>
        <w:emboss w:val="0"/>
        <w:imprint w:val="0"/>
        <w:vanish w:val="0"/>
        <w:sz w:val="18"/>
        <w:szCs w:val="18"/>
        <w:vertAlign w:val="baseline"/>
      </w:rPr>
    </w:lvl>
    <w:lvl w:ilvl="6">
      <w:start w:val="1"/>
      <w:numFmt w:val="decimal"/>
      <w:pStyle w:val="Ttulo7"/>
      <w:suff w:val="space"/>
      <w:lvlText w:val="%1.%2.%3.%4.%5.%6.%7"/>
      <w:lvlJc w:val="left"/>
      <w:pPr>
        <w:ind w:left="0" w:firstLine="0"/>
      </w:pPr>
      <w:rPr>
        <w:rFonts w:ascii="Futura Lt BT" w:hAnsi="Futura Lt BT" w:hint="default"/>
        <w:b w:val="0"/>
        <w:i w:val="0"/>
        <w:caps w:val="0"/>
        <w:strike w:val="0"/>
        <w:dstrike w:val="0"/>
        <w:outline w:val="0"/>
        <w:shadow w:val="0"/>
        <w:emboss w:val="0"/>
        <w:imprint w:val="0"/>
        <w:vanish w:val="0"/>
        <w:sz w:val="20"/>
        <w:vertAlign w:val="baseline"/>
      </w:rPr>
    </w:lvl>
    <w:lvl w:ilvl="7">
      <w:start w:val="1"/>
      <w:numFmt w:val="decimal"/>
      <w:pStyle w:val="Ttulo8"/>
      <w:suff w:val="space"/>
      <w:lvlText w:val="%1.%2.%3.%4.%5.%6.%7.%8"/>
      <w:lvlJc w:val="left"/>
      <w:pPr>
        <w:ind w:left="0" w:firstLine="0"/>
      </w:pPr>
      <w:rPr>
        <w:rFonts w:ascii="Futura Lt BT" w:hAnsi="Futura Lt BT" w:hint="default"/>
        <w:b w:val="0"/>
        <w:i w:val="0"/>
        <w:caps w:val="0"/>
        <w:strike w:val="0"/>
        <w:dstrike w:val="0"/>
        <w:outline w:val="0"/>
        <w:shadow w:val="0"/>
        <w:emboss w:val="0"/>
        <w:imprint w:val="0"/>
        <w:vanish w:val="0"/>
        <w:sz w:val="20"/>
        <w:vertAlign w:val="baseline"/>
      </w:rPr>
    </w:lvl>
    <w:lvl w:ilvl="8">
      <w:start w:val="1"/>
      <w:numFmt w:val="decimal"/>
      <w:pStyle w:val="Ttulo9"/>
      <w:suff w:val="space"/>
      <w:lvlText w:val="%1.%2.%3.%4.%5.%6.%7.%8.%9"/>
      <w:lvlJc w:val="left"/>
      <w:pPr>
        <w:ind w:left="0" w:firstLine="0"/>
      </w:pPr>
      <w:rPr>
        <w:rFonts w:ascii="Futura Lt BT" w:hAnsi="Futura Lt BT" w:hint="default"/>
        <w:b w:val="0"/>
        <w:i w:val="0"/>
        <w:caps w:val="0"/>
        <w:strike w:val="0"/>
        <w:dstrike w:val="0"/>
        <w:outline w:val="0"/>
        <w:shadow w:val="0"/>
        <w:emboss w:val="0"/>
        <w:imprint w:val="0"/>
        <w:vanish w:val="0"/>
        <w:sz w:val="20"/>
        <w:vertAlign w:val="baseline"/>
      </w:rPr>
    </w:lvl>
  </w:abstractNum>
  <w:abstractNum w:abstractNumId="11">
    <w:nsid w:val="014A0F59"/>
    <w:multiLevelType w:val="hybridMultilevel"/>
    <w:tmpl w:val="B686D21A"/>
    <w:lvl w:ilvl="0" w:tplc="19203FF2">
      <w:start w:val="1"/>
      <w:numFmt w:val="bullet"/>
      <w:pStyle w:val="Sangra2"/>
      <w:lvlText w:val=""/>
      <w:lvlJc w:val="left"/>
      <w:pPr>
        <w:ind w:left="814" w:hanging="360"/>
      </w:pPr>
      <w:rPr>
        <w:rFonts w:ascii="Wingdings 2" w:hAnsi="Wingdings 2" w:hint="default"/>
        <w:color w:val="auto"/>
        <w:sz w:val="26"/>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nsid w:val="0A687560"/>
    <w:multiLevelType w:val="hybridMultilevel"/>
    <w:tmpl w:val="C5225BC6"/>
    <w:lvl w:ilvl="0" w:tplc="215C1A78">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3">
    <w:nsid w:val="16C23CC6"/>
    <w:multiLevelType w:val="hybridMultilevel"/>
    <w:tmpl w:val="4A6EBC30"/>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4">
    <w:nsid w:val="2B68002A"/>
    <w:multiLevelType w:val="hybridMultilevel"/>
    <w:tmpl w:val="CA46530E"/>
    <w:lvl w:ilvl="0" w:tplc="C124F882">
      <w:start w:val="1"/>
      <w:numFmt w:val="bullet"/>
      <w:pStyle w:val="Sangra4"/>
      <w:lvlText w:val=""/>
      <w:lvlJc w:val="left"/>
      <w:pPr>
        <w:tabs>
          <w:tab w:val="num" w:pos="1324"/>
        </w:tabs>
        <w:ind w:left="964" w:firstLine="0"/>
      </w:pPr>
      <w:rPr>
        <w:rFonts w:ascii="Wingdings 2" w:hAnsi="Wingdings 2" w:hint="default"/>
        <w:color w:val="auto"/>
        <w:sz w:val="20"/>
        <w:szCs w:val="20"/>
      </w:rPr>
    </w:lvl>
    <w:lvl w:ilvl="1" w:tplc="0C0A0003" w:tentative="1">
      <w:start w:val="1"/>
      <w:numFmt w:val="bullet"/>
      <w:lvlText w:val="o"/>
      <w:lvlJc w:val="left"/>
      <w:pPr>
        <w:tabs>
          <w:tab w:val="num" w:pos="1442"/>
        </w:tabs>
        <w:ind w:left="1442" w:hanging="360"/>
      </w:pPr>
      <w:rPr>
        <w:rFonts w:ascii="Courier New" w:hAnsi="Courier New" w:hint="default"/>
      </w:rPr>
    </w:lvl>
    <w:lvl w:ilvl="2" w:tplc="0C0A0005" w:tentative="1">
      <w:start w:val="1"/>
      <w:numFmt w:val="bullet"/>
      <w:lvlText w:val=""/>
      <w:lvlJc w:val="left"/>
      <w:pPr>
        <w:tabs>
          <w:tab w:val="num" w:pos="2162"/>
        </w:tabs>
        <w:ind w:left="2162" w:hanging="360"/>
      </w:pPr>
      <w:rPr>
        <w:rFonts w:ascii="Wingdings" w:hAnsi="Wingdings" w:hint="default"/>
      </w:rPr>
    </w:lvl>
    <w:lvl w:ilvl="3" w:tplc="0C0A0001">
      <w:start w:val="1"/>
      <w:numFmt w:val="bullet"/>
      <w:lvlText w:val=""/>
      <w:lvlJc w:val="left"/>
      <w:pPr>
        <w:tabs>
          <w:tab w:val="num" w:pos="2882"/>
        </w:tabs>
        <w:ind w:left="2882" w:hanging="360"/>
      </w:pPr>
      <w:rPr>
        <w:rFonts w:ascii="Symbol" w:hAnsi="Symbol" w:hint="default"/>
      </w:rPr>
    </w:lvl>
    <w:lvl w:ilvl="4" w:tplc="0C0A0003" w:tentative="1">
      <w:start w:val="1"/>
      <w:numFmt w:val="bullet"/>
      <w:lvlText w:val="o"/>
      <w:lvlJc w:val="left"/>
      <w:pPr>
        <w:tabs>
          <w:tab w:val="num" w:pos="3602"/>
        </w:tabs>
        <w:ind w:left="3602" w:hanging="360"/>
      </w:pPr>
      <w:rPr>
        <w:rFonts w:ascii="Courier New" w:hAnsi="Courier New" w:hint="default"/>
      </w:rPr>
    </w:lvl>
    <w:lvl w:ilvl="5" w:tplc="0C0A0005" w:tentative="1">
      <w:start w:val="1"/>
      <w:numFmt w:val="bullet"/>
      <w:lvlText w:val=""/>
      <w:lvlJc w:val="left"/>
      <w:pPr>
        <w:tabs>
          <w:tab w:val="num" w:pos="4322"/>
        </w:tabs>
        <w:ind w:left="4322" w:hanging="360"/>
      </w:pPr>
      <w:rPr>
        <w:rFonts w:ascii="Wingdings" w:hAnsi="Wingdings" w:hint="default"/>
      </w:rPr>
    </w:lvl>
    <w:lvl w:ilvl="6" w:tplc="0C0A0001" w:tentative="1">
      <w:start w:val="1"/>
      <w:numFmt w:val="bullet"/>
      <w:lvlText w:val=""/>
      <w:lvlJc w:val="left"/>
      <w:pPr>
        <w:tabs>
          <w:tab w:val="num" w:pos="5042"/>
        </w:tabs>
        <w:ind w:left="5042" w:hanging="360"/>
      </w:pPr>
      <w:rPr>
        <w:rFonts w:ascii="Symbol" w:hAnsi="Symbol" w:hint="default"/>
      </w:rPr>
    </w:lvl>
    <w:lvl w:ilvl="7" w:tplc="0C0A0003" w:tentative="1">
      <w:start w:val="1"/>
      <w:numFmt w:val="bullet"/>
      <w:lvlText w:val="o"/>
      <w:lvlJc w:val="left"/>
      <w:pPr>
        <w:tabs>
          <w:tab w:val="num" w:pos="5762"/>
        </w:tabs>
        <w:ind w:left="5762" w:hanging="360"/>
      </w:pPr>
      <w:rPr>
        <w:rFonts w:ascii="Courier New" w:hAnsi="Courier New" w:hint="default"/>
      </w:rPr>
    </w:lvl>
    <w:lvl w:ilvl="8" w:tplc="0C0A0005" w:tentative="1">
      <w:start w:val="1"/>
      <w:numFmt w:val="bullet"/>
      <w:lvlText w:val=""/>
      <w:lvlJc w:val="left"/>
      <w:pPr>
        <w:tabs>
          <w:tab w:val="num" w:pos="6482"/>
        </w:tabs>
        <w:ind w:left="6482" w:hanging="360"/>
      </w:pPr>
      <w:rPr>
        <w:rFonts w:ascii="Wingdings" w:hAnsi="Wingdings" w:hint="default"/>
      </w:rPr>
    </w:lvl>
  </w:abstractNum>
  <w:abstractNum w:abstractNumId="15">
    <w:nsid w:val="47346764"/>
    <w:multiLevelType w:val="hybridMultilevel"/>
    <w:tmpl w:val="C5225BC6"/>
    <w:lvl w:ilvl="0" w:tplc="215C1A78">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6">
    <w:nsid w:val="479B3A68"/>
    <w:multiLevelType w:val="hybridMultilevel"/>
    <w:tmpl w:val="C890F29C"/>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7">
    <w:nsid w:val="5AC20485"/>
    <w:multiLevelType w:val="hybridMultilevel"/>
    <w:tmpl w:val="3024421C"/>
    <w:lvl w:ilvl="0" w:tplc="09742468">
      <w:numFmt w:val="bullet"/>
      <w:pStyle w:val="Sangra5"/>
      <w:lvlText w:val="-"/>
      <w:lvlJc w:val="left"/>
      <w:pPr>
        <w:tabs>
          <w:tab w:val="num" w:pos="1070"/>
        </w:tabs>
        <w:ind w:left="1070" w:hanging="360"/>
      </w:pPr>
      <w:rPr>
        <w:rFonts w:ascii="Times New Roman" w:eastAsia="Times New Roman" w:hAnsi="Times New Roman" w:cs="Times New Roman" w:hint="default"/>
      </w:rPr>
    </w:lvl>
    <w:lvl w:ilvl="1" w:tplc="0C0A0003" w:tentative="1">
      <w:start w:val="1"/>
      <w:numFmt w:val="bullet"/>
      <w:lvlText w:val="o"/>
      <w:lvlJc w:val="left"/>
      <w:pPr>
        <w:tabs>
          <w:tab w:val="num" w:pos="1790"/>
        </w:tabs>
        <w:ind w:left="1790" w:hanging="360"/>
      </w:pPr>
      <w:rPr>
        <w:rFonts w:ascii="Courier New" w:hAnsi="Courier New" w:hint="default"/>
      </w:rPr>
    </w:lvl>
    <w:lvl w:ilvl="2" w:tplc="0C0A0005" w:tentative="1">
      <w:start w:val="1"/>
      <w:numFmt w:val="bullet"/>
      <w:lvlText w:val=""/>
      <w:lvlJc w:val="left"/>
      <w:pPr>
        <w:tabs>
          <w:tab w:val="num" w:pos="2510"/>
        </w:tabs>
        <w:ind w:left="2510" w:hanging="360"/>
      </w:pPr>
      <w:rPr>
        <w:rFonts w:ascii="Wingdings" w:hAnsi="Wingdings" w:hint="default"/>
      </w:rPr>
    </w:lvl>
    <w:lvl w:ilvl="3" w:tplc="0C0A0001" w:tentative="1">
      <w:start w:val="1"/>
      <w:numFmt w:val="bullet"/>
      <w:lvlText w:val=""/>
      <w:lvlJc w:val="left"/>
      <w:pPr>
        <w:tabs>
          <w:tab w:val="num" w:pos="3230"/>
        </w:tabs>
        <w:ind w:left="3230" w:hanging="360"/>
      </w:pPr>
      <w:rPr>
        <w:rFonts w:ascii="Symbol" w:hAnsi="Symbol" w:hint="default"/>
      </w:rPr>
    </w:lvl>
    <w:lvl w:ilvl="4" w:tplc="0C0A0003" w:tentative="1">
      <w:start w:val="1"/>
      <w:numFmt w:val="bullet"/>
      <w:lvlText w:val="o"/>
      <w:lvlJc w:val="left"/>
      <w:pPr>
        <w:tabs>
          <w:tab w:val="num" w:pos="3950"/>
        </w:tabs>
        <w:ind w:left="3950" w:hanging="360"/>
      </w:pPr>
      <w:rPr>
        <w:rFonts w:ascii="Courier New" w:hAnsi="Courier New" w:hint="default"/>
      </w:rPr>
    </w:lvl>
    <w:lvl w:ilvl="5" w:tplc="0C0A0005" w:tentative="1">
      <w:start w:val="1"/>
      <w:numFmt w:val="bullet"/>
      <w:lvlText w:val=""/>
      <w:lvlJc w:val="left"/>
      <w:pPr>
        <w:tabs>
          <w:tab w:val="num" w:pos="4670"/>
        </w:tabs>
        <w:ind w:left="4670" w:hanging="360"/>
      </w:pPr>
      <w:rPr>
        <w:rFonts w:ascii="Wingdings" w:hAnsi="Wingdings" w:hint="default"/>
      </w:rPr>
    </w:lvl>
    <w:lvl w:ilvl="6" w:tplc="0C0A0001" w:tentative="1">
      <w:start w:val="1"/>
      <w:numFmt w:val="bullet"/>
      <w:lvlText w:val=""/>
      <w:lvlJc w:val="left"/>
      <w:pPr>
        <w:tabs>
          <w:tab w:val="num" w:pos="5390"/>
        </w:tabs>
        <w:ind w:left="5390" w:hanging="360"/>
      </w:pPr>
      <w:rPr>
        <w:rFonts w:ascii="Symbol" w:hAnsi="Symbol" w:hint="default"/>
      </w:rPr>
    </w:lvl>
    <w:lvl w:ilvl="7" w:tplc="0C0A0003" w:tentative="1">
      <w:start w:val="1"/>
      <w:numFmt w:val="bullet"/>
      <w:lvlText w:val="o"/>
      <w:lvlJc w:val="left"/>
      <w:pPr>
        <w:tabs>
          <w:tab w:val="num" w:pos="6110"/>
        </w:tabs>
        <w:ind w:left="6110" w:hanging="360"/>
      </w:pPr>
      <w:rPr>
        <w:rFonts w:ascii="Courier New" w:hAnsi="Courier New" w:hint="default"/>
      </w:rPr>
    </w:lvl>
    <w:lvl w:ilvl="8" w:tplc="0C0A0005" w:tentative="1">
      <w:start w:val="1"/>
      <w:numFmt w:val="bullet"/>
      <w:lvlText w:val=""/>
      <w:lvlJc w:val="left"/>
      <w:pPr>
        <w:tabs>
          <w:tab w:val="num" w:pos="6830"/>
        </w:tabs>
        <w:ind w:left="6830" w:hanging="360"/>
      </w:pPr>
      <w:rPr>
        <w:rFonts w:ascii="Wingdings" w:hAnsi="Wingdings" w:hint="default"/>
      </w:rPr>
    </w:lvl>
  </w:abstractNum>
  <w:abstractNum w:abstractNumId="18">
    <w:nsid w:val="5E105EC7"/>
    <w:multiLevelType w:val="hybridMultilevel"/>
    <w:tmpl w:val="2D380762"/>
    <w:lvl w:ilvl="0" w:tplc="8206981C">
      <w:start w:val="1"/>
      <w:numFmt w:val="bullet"/>
      <w:pStyle w:val="Sangra3"/>
      <w:lvlText w:val=""/>
      <w:lvlJc w:val="left"/>
      <w:pPr>
        <w:ind w:left="1211" w:hanging="360"/>
      </w:pPr>
      <w:rPr>
        <w:rFonts w:ascii="Wingdings 2" w:hAnsi="Wingdings 2" w:hint="default"/>
        <w:color w:val="auto"/>
        <w:sz w:val="24"/>
        <w:szCs w:val="24"/>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nsid w:val="602250AF"/>
    <w:multiLevelType w:val="multilevel"/>
    <w:tmpl w:val="18DAA154"/>
    <w:lvl w:ilvl="0">
      <w:start w:val="1"/>
      <w:numFmt w:val="decimal"/>
      <w:pStyle w:val="Titulodetabla"/>
      <w:lvlText w:val="Tabla nº%1."/>
      <w:lvlJc w:val="left"/>
      <w:pPr>
        <w:ind w:left="0" w:firstLine="0"/>
      </w:pPr>
      <w:rPr>
        <w:rFonts w:ascii="Futura Lt BT" w:hAnsi="Futura Lt BT" w:hint="default"/>
        <w:b w:val="0"/>
        <w:i/>
        <w:sz w:val="18"/>
        <w:szCs w:val="18"/>
      </w:rPr>
    </w:lvl>
    <w:lvl w:ilvl="1">
      <w:start w:val="1"/>
      <w:numFmt w:val="decimal"/>
      <w:lvlText w:val="%1.%2."/>
      <w:lvlJc w:val="left"/>
      <w:pPr>
        <w:tabs>
          <w:tab w:val="num" w:pos="969"/>
        </w:tabs>
        <w:ind w:left="969" w:hanging="680"/>
      </w:pPr>
      <w:rPr>
        <w:rFonts w:hint="default"/>
      </w:rPr>
    </w:lvl>
    <w:lvl w:ilvl="2">
      <w:start w:val="1"/>
      <w:numFmt w:val="decimal"/>
      <w:lvlText w:val="%1.%2.%3."/>
      <w:lvlJc w:val="left"/>
      <w:pPr>
        <w:tabs>
          <w:tab w:val="num" w:pos="1140"/>
        </w:tabs>
        <w:ind w:left="1140" w:hanging="851"/>
      </w:pPr>
      <w:rPr>
        <w:rFonts w:hint="default"/>
      </w:rPr>
    </w:lvl>
    <w:lvl w:ilvl="3">
      <w:start w:val="1"/>
      <w:numFmt w:val="decimal"/>
      <w:lvlText w:val="%1.%2.%3.%4."/>
      <w:lvlJc w:val="left"/>
      <w:pPr>
        <w:tabs>
          <w:tab w:val="num" w:pos="1253"/>
        </w:tabs>
        <w:ind w:left="1253" w:hanging="964"/>
      </w:pPr>
      <w:rPr>
        <w:rFonts w:hint="default"/>
      </w:rPr>
    </w:lvl>
    <w:lvl w:ilvl="4">
      <w:start w:val="1"/>
      <w:numFmt w:val="decimal"/>
      <w:lvlText w:val="%1.%2.%3.%4.%5."/>
      <w:lvlJc w:val="left"/>
      <w:pPr>
        <w:tabs>
          <w:tab w:val="num" w:pos="1729"/>
        </w:tabs>
        <w:ind w:left="1423" w:hanging="1134"/>
      </w:pPr>
      <w:rPr>
        <w:rFonts w:hint="default"/>
      </w:rPr>
    </w:lvl>
    <w:lvl w:ilvl="5">
      <w:start w:val="1"/>
      <w:numFmt w:val="decimal"/>
      <w:lvlText w:val="%1.%2.%3.%4.%5.%6."/>
      <w:lvlJc w:val="left"/>
      <w:pPr>
        <w:tabs>
          <w:tab w:val="num" w:pos="4249"/>
        </w:tabs>
        <w:ind w:left="3025" w:hanging="936"/>
      </w:pPr>
      <w:rPr>
        <w:rFonts w:hint="default"/>
      </w:rPr>
    </w:lvl>
    <w:lvl w:ilvl="6">
      <w:start w:val="1"/>
      <w:numFmt w:val="decimal"/>
      <w:lvlText w:val="%1.%2.%3.%4.%5.%6.%7."/>
      <w:lvlJc w:val="left"/>
      <w:pPr>
        <w:tabs>
          <w:tab w:val="num" w:pos="4609"/>
        </w:tabs>
        <w:ind w:left="3529" w:hanging="1080"/>
      </w:pPr>
      <w:rPr>
        <w:rFonts w:hint="default"/>
      </w:rPr>
    </w:lvl>
    <w:lvl w:ilvl="7">
      <w:start w:val="1"/>
      <w:numFmt w:val="decimal"/>
      <w:lvlText w:val="%1.%2.%3.%4.%5.%6.%7.%8."/>
      <w:lvlJc w:val="left"/>
      <w:pPr>
        <w:tabs>
          <w:tab w:val="num" w:pos="5329"/>
        </w:tabs>
        <w:ind w:left="4033" w:hanging="1224"/>
      </w:pPr>
      <w:rPr>
        <w:rFonts w:hint="default"/>
      </w:rPr>
    </w:lvl>
    <w:lvl w:ilvl="8">
      <w:start w:val="1"/>
      <w:numFmt w:val="decimal"/>
      <w:lvlText w:val="%1.%2.%3.%4.%5.%6.%7.%8.%9."/>
      <w:lvlJc w:val="left"/>
      <w:pPr>
        <w:tabs>
          <w:tab w:val="num" w:pos="6049"/>
        </w:tabs>
        <w:ind w:left="4609" w:hanging="1440"/>
      </w:pPr>
      <w:rPr>
        <w:rFonts w:hint="default"/>
      </w:rPr>
    </w:lvl>
  </w:abstractNum>
  <w:abstractNum w:abstractNumId="20">
    <w:nsid w:val="651F2A98"/>
    <w:multiLevelType w:val="hybridMultilevel"/>
    <w:tmpl w:val="027A592A"/>
    <w:lvl w:ilvl="0" w:tplc="1D70A8B4">
      <w:start w:val="1"/>
      <w:numFmt w:val="decimal"/>
      <w:pStyle w:val="Titulodeplano"/>
      <w:lvlText w:val="Plano nº%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69E8289C"/>
    <w:multiLevelType w:val="hybridMultilevel"/>
    <w:tmpl w:val="1DD49EC2"/>
    <w:lvl w:ilvl="0" w:tplc="8982AAE8">
      <w:start w:val="1"/>
      <w:numFmt w:val="decimal"/>
      <w:pStyle w:val="Titulodefotografa"/>
      <w:lvlText w:val="Fotografía nº%1."/>
      <w:lvlJc w:val="left"/>
      <w:pPr>
        <w:ind w:left="360" w:hanging="360"/>
      </w:pPr>
      <w:rPr>
        <w:rFonts w:ascii="Futura Lt BT" w:hAnsi="Futura Lt BT" w:cs="Times New Roman" w:hint="default"/>
        <w:b w:val="0"/>
        <w:bCs w:val="0"/>
        <w:i/>
        <w:iCs w:val="0"/>
        <w:caps w:val="0"/>
        <w:smallCaps w:val="0"/>
        <w:strike w:val="0"/>
        <w:dstrike w:val="0"/>
        <w:outline w:val="0"/>
        <w:shadow w:val="0"/>
        <w:emboss w:val="0"/>
        <w:imprint w:val="0"/>
        <w:vanish w:val="0"/>
        <w:spacing w:val="0"/>
        <w:kern w:val="0"/>
        <w:position w:val="0"/>
        <w:sz w:val="18"/>
        <w:szCs w:val="18"/>
        <w:u w:val="none"/>
        <w:vertAlign w:val="baseline"/>
        <w:em w:val="none"/>
      </w:rPr>
    </w:lvl>
    <w:lvl w:ilvl="1" w:tplc="E88CE14E">
      <w:start w:val="1"/>
      <w:numFmt w:val="lowerLetter"/>
      <w:lvlText w:val="%2."/>
      <w:lvlJc w:val="left"/>
      <w:pPr>
        <w:tabs>
          <w:tab w:val="num" w:pos="1440"/>
        </w:tabs>
        <w:ind w:left="1440" w:hanging="360"/>
      </w:pPr>
    </w:lvl>
    <w:lvl w:ilvl="2" w:tplc="0C0A0001">
      <w:start w:val="1"/>
      <w:numFmt w:val="bullet"/>
      <w:lvlText w:val=""/>
      <w:lvlJc w:val="left"/>
      <w:pPr>
        <w:tabs>
          <w:tab w:val="num" w:pos="2160"/>
        </w:tabs>
        <w:ind w:left="2160" w:hanging="180"/>
      </w:pPr>
      <w:rPr>
        <w:rFonts w:ascii="Symbol" w:hAnsi="Symbol" w:hint="default"/>
      </w:rPr>
    </w:lvl>
    <w:lvl w:ilvl="3" w:tplc="4FFE4658" w:tentative="1">
      <w:start w:val="1"/>
      <w:numFmt w:val="decimal"/>
      <w:lvlText w:val="%4."/>
      <w:lvlJc w:val="left"/>
      <w:pPr>
        <w:tabs>
          <w:tab w:val="num" w:pos="2880"/>
        </w:tabs>
        <w:ind w:left="2880" w:hanging="360"/>
      </w:pPr>
    </w:lvl>
    <w:lvl w:ilvl="4" w:tplc="1612F99A" w:tentative="1">
      <w:start w:val="1"/>
      <w:numFmt w:val="lowerLetter"/>
      <w:lvlText w:val="%5."/>
      <w:lvlJc w:val="left"/>
      <w:pPr>
        <w:tabs>
          <w:tab w:val="num" w:pos="3600"/>
        </w:tabs>
        <w:ind w:left="3600" w:hanging="360"/>
      </w:pPr>
    </w:lvl>
    <w:lvl w:ilvl="5" w:tplc="4398A238" w:tentative="1">
      <w:start w:val="1"/>
      <w:numFmt w:val="lowerRoman"/>
      <w:lvlText w:val="%6."/>
      <w:lvlJc w:val="right"/>
      <w:pPr>
        <w:tabs>
          <w:tab w:val="num" w:pos="4320"/>
        </w:tabs>
        <w:ind w:left="4320" w:hanging="180"/>
      </w:pPr>
    </w:lvl>
    <w:lvl w:ilvl="6" w:tplc="CAAE3360" w:tentative="1">
      <w:start w:val="1"/>
      <w:numFmt w:val="decimal"/>
      <w:lvlText w:val="%7."/>
      <w:lvlJc w:val="left"/>
      <w:pPr>
        <w:tabs>
          <w:tab w:val="num" w:pos="5040"/>
        </w:tabs>
        <w:ind w:left="5040" w:hanging="360"/>
      </w:pPr>
    </w:lvl>
    <w:lvl w:ilvl="7" w:tplc="5122D432" w:tentative="1">
      <w:start w:val="1"/>
      <w:numFmt w:val="lowerLetter"/>
      <w:lvlText w:val="%8."/>
      <w:lvlJc w:val="left"/>
      <w:pPr>
        <w:tabs>
          <w:tab w:val="num" w:pos="5760"/>
        </w:tabs>
        <w:ind w:left="5760" w:hanging="360"/>
      </w:pPr>
    </w:lvl>
    <w:lvl w:ilvl="8" w:tplc="28F0D038" w:tentative="1">
      <w:start w:val="1"/>
      <w:numFmt w:val="lowerRoman"/>
      <w:lvlText w:val="%9."/>
      <w:lvlJc w:val="right"/>
      <w:pPr>
        <w:tabs>
          <w:tab w:val="num" w:pos="6480"/>
        </w:tabs>
        <w:ind w:left="6480" w:hanging="180"/>
      </w:pPr>
    </w:lvl>
  </w:abstractNum>
  <w:abstractNum w:abstractNumId="22">
    <w:nsid w:val="6DEE0863"/>
    <w:multiLevelType w:val="hybridMultilevel"/>
    <w:tmpl w:val="01E87718"/>
    <w:lvl w:ilvl="0" w:tplc="BF0EFEC2">
      <w:start w:val="1"/>
      <w:numFmt w:val="bullet"/>
      <w:pStyle w:val="Sangra1"/>
      <w:lvlText w:val=""/>
      <w:lvlJc w:val="left"/>
      <w:pPr>
        <w:ind w:left="530" w:hanging="360"/>
      </w:pPr>
      <w:rPr>
        <w:rFonts w:ascii="Symbol" w:hAnsi="Symbol" w:hint="default"/>
        <w:color w:val="auto"/>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75726BA4"/>
    <w:multiLevelType w:val="multilevel"/>
    <w:tmpl w:val="BACA665A"/>
    <w:lvl w:ilvl="0">
      <w:start w:val="1"/>
      <w:numFmt w:val="decimal"/>
      <w:pStyle w:val="Titulodefigura"/>
      <w:lvlText w:val="Figura nº%1."/>
      <w:lvlJc w:val="left"/>
      <w:pPr>
        <w:ind w:left="360" w:hanging="360"/>
      </w:pPr>
      <w:rPr>
        <w:rFonts w:ascii="Futura Lt BT" w:hAnsi="Futura Lt BT" w:hint="default"/>
        <w:b w:val="0"/>
        <w:i/>
        <w:sz w:val="18"/>
        <w:szCs w:val="1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numFmt w:val="none"/>
      <w:lvlText w:val=""/>
      <w:lvlJc w:val="left"/>
      <w:pPr>
        <w:tabs>
          <w:tab w:val="num" w:pos="360"/>
        </w:tabs>
        <w:ind w:left="0" w:firstLine="0"/>
      </w:pPr>
      <w:rPr>
        <w:rFonts w:hint="default"/>
      </w:rPr>
    </w:lvl>
    <w:lvl w:ilvl="5">
      <w:numFmt w:val="none"/>
      <w:lvlText w:val=""/>
      <w:lvlJc w:val="left"/>
      <w:pPr>
        <w:tabs>
          <w:tab w:val="num" w:pos="360"/>
        </w:tabs>
        <w:ind w:left="0" w:firstLine="0"/>
      </w:pPr>
      <w:rPr>
        <w:rFonts w:hint="default"/>
      </w:rPr>
    </w:lvl>
    <w:lvl w:ilvl="6">
      <w:numFmt w:val="none"/>
      <w:lvlText w:val=""/>
      <w:lvlJc w:val="left"/>
      <w:pPr>
        <w:tabs>
          <w:tab w:val="num" w:pos="360"/>
        </w:tabs>
        <w:ind w:left="0" w:firstLine="0"/>
      </w:pPr>
      <w:rPr>
        <w:rFonts w:hint="default"/>
      </w:rPr>
    </w:lvl>
    <w:lvl w:ilvl="7">
      <w:numFmt w:val="none"/>
      <w:lvlText w:val=""/>
      <w:lvlJc w:val="left"/>
      <w:pPr>
        <w:tabs>
          <w:tab w:val="num" w:pos="360"/>
        </w:tabs>
        <w:ind w:left="0" w:firstLine="0"/>
      </w:pPr>
      <w:rPr>
        <w:rFonts w:hint="default"/>
      </w:rPr>
    </w:lvl>
    <w:lvl w:ilvl="8">
      <w:numFmt w:val="none"/>
      <w:lvlText w:val=""/>
      <w:lvlJc w:val="left"/>
      <w:pPr>
        <w:tabs>
          <w:tab w:val="num" w:pos="360"/>
        </w:tabs>
        <w:ind w:left="0" w:firstLine="0"/>
      </w:pPr>
      <w:rPr>
        <w:rFonts w:hint="default"/>
      </w:rPr>
    </w:lvl>
  </w:abstractNum>
  <w:num w:numId="1">
    <w:abstractNumId w:val="22"/>
  </w:num>
  <w:num w:numId="2">
    <w:abstractNumId w:val="11"/>
  </w:num>
  <w:num w:numId="3">
    <w:abstractNumId w:val="18"/>
  </w:num>
  <w:num w:numId="4">
    <w:abstractNumId w:val="14"/>
  </w:num>
  <w:num w:numId="5">
    <w:abstractNumId w:val="17"/>
  </w:num>
  <w:num w:numId="6">
    <w:abstractNumId w:val="10"/>
  </w:num>
  <w:num w:numId="7">
    <w:abstractNumId w:val="23"/>
  </w:num>
  <w:num w:numId="8">
    <w:abstractNumId w:val="21"/>
  </w:num>
  <w:num w:numId="9">
    <w:abstractNumId w:val="20"/>
  </w:num>
  <w:num w:numId="10">
    <w:abstractNumId w:val="19"/>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6"/>
  </w:num>
  <w:num w:numId="22">
    <w:abstractNumId w:val="18"/>
  </w:num>
  <w:num w:numId="23">
    <w:abstractNumId w:val="18"/>
  </w:num>
  <w:num w:numId="24">
    <w:abstractNumId w:val="18"/>
  </w:num>
  <w:num w:numId="25">
    <w:abstractNumId w:val="18"/>
  </w:num>
  <w:num w:numId="26">
    <w:abstractNumId w:val="13"/>
  </w:num>
  <w:num w:numId="27">
    <w:abstractNumId w:val="15"/>
  </w:num>
  <w:num w:numId="28">
    <w:abstractNumId w:val="1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printFractionalCharacterWidth/>
  <w:embedSystemFonts/>
  <w:hideGrammaticalErrors/>
  <w:activeWritingStyle w:appName="MSWord" w:lang="es-ES_tradnl" w:vendorID="9" w:dllVersion="512" w:checkStyle="1"/>
  <w:activeWritingStyle w:appName="MSWord" w:lang="pt-BR" w:vendorID="1" w:dllVersion="513" w:checkStyle="1"/>
  <w:proofState w:spelling="clean" w:grammar="clean"/>
  <w:stylePaneFormatFilter w:val="3F04"/>
  <w:defaultTabStop w:val="720"/>
  <w:hyphenationZone w:val="425"/>
  <w:doNotHyphenateCaps/>
  <w:drawingGridHorizontalSpacing w:val="100"/>
  <w:drawingGridVerticalSpacing w:val="136"/>
  <w:displayHorizontalDrawingGridEvery w:val="2"/>
  <w:displayVerticalDrawingGridEvery w:val="2"/>
  <w:doNotShadeFormData/>
  <w:noPunctuationKerning/>
  <w:characterSpacingControl w:val="doNotCompress"/>
  <w:hdrShapeDefaults>
    <o:shapedefaults v:ext="edit" spidmax="209922"/>
  </w:hdrShapeDefaults>
  <w:footnotePr>
    <w:numFmt w:val="lowerRoman"/>
    <w:footnote w:id="-1"/>
    <w:footnote w:id="0"/>
  </w:footnotePr>
  <w:endnotePr>
    <w:pos w:val="sectEnd"/>
    <w:numFmt w:val="decimal"/>
    <w:endnote w:id="-1"/>
    <w:endnote w:id="0"/>
  </w:endnotePr>
  <w:compat>
    <w:balanceSingleByteDoubleByteWidth/>
    <w:doNotLeaveBackslashAlone/>
    <w:ulTrailSpace/>
    <w:doNotExpandShiftReturn/>
  </w:compat>
  <w:rsids>
    <w:rsidRoot w:val="003514D9"/>
    <w:rsid w:val="00005A51"/>
    <w:rsid w:val="00005D65"/>
    <w:rsid w:val="00007D2F"/>
    <w:rsid w:val="00011E41"/>
    <w:rsid w:val="000130F4"/>
    <w:rsid w:val="0001322F"/>
    <w:rsid w:val="00013D02"/>
    <w:rsid w:val="000174A2"/>
    <w:rsid w:val="00017AEF"/>
    <w:rsid w:val="00020D05"/>
    <w:rsid w:val="00020E7F"/>
    <w:rsid w:val="0002507A"/>
    <w:rsid w:val="0002757A"/>
    <w:rsid w:val="00030360"/>
    <w:rsid w:val="000303B7"/>
    <w:rsid w:val="00030E4D"/>
    <w:rsid w:val="00037F0F"/>
    <w:rsid w:val="00042194"/>
    <w:rsid w:val="00042D66"/>
    <w:rsid w:val="00044DD0"/>
    <w:rsid w:val="0004624F"/>
    <w:rsid w:val="000466CB"/>
    <w:rsid w:val="00047C32"/>
    <w:rsid w:val="000507CF"/>
    <w:rsid w:val="00050A09"/>
    <w:rsid w:val="00051913"/>
    <w:rsid w:val="00053296"/>
    <w:rsid w:val="00053453"/>
    <w:rsid w:val="00053FB6"/>
    <w:rsid w:val="00054B84"/>
    <w:rsid w:val="00060600"/>
    <w:rsid w:val="00060B48"/>
    <w:rsid w:val="00061C6C"/>
    <w:rsid w:val="00061D73"/>
    <w:rsid w:val="00062A81"/>
    <w:rsid w:val="00064123"/>
    <w:rsid w:val="00064C3D"/>
    <w:rsid w:val="00065145"/>
    <w:rsid w:val="00066FEF"/>
    <w:rsid w:val="000724A0"/>
    <w:rsid w:val="00072D8D"/>
    <w:rsid w:val="00072F77"/>
    <w:rsid w:val="00073417"/>
    <w:rsid w:val="00075D88"/>
    <w:rsid w:val="0008077A"/>
    <w:rsid w:val="00080E4C"/>
    <w:rsid w:val="00082306"/>
    <w:rsid w:val="00082D4C"/>
    <w:rsid w:val="000842DA"/>
    <w:rsid w:val="00087E51"/>
    <w:rsid w:val="00091AEA"/>
    <w:rsid w:val="00093513"/>
    <w:rsid w:val="00095D24"/>
    <w:rsid w:val="000966B4"/>
    <w:rsid w:val="0009729C"/>
    <w:rsid w:val="000A1831"/>
    <w:rsid w:val="000A4A22"/>
    <w:rsid w:val="000A4A80"/>
    <w:rsid w:val="000A66DF"/>
    <w:rsid w:val="000A6BC6"/>
    <w:rsid w:val="000A789D"/>
    <w:rsid w:val="000B1ACE"/>
    <w:rsid w:val="000B72DF"/>
    <w:rsid w:val="000C150C"/>
    <w:rsid w:val="000C1668"/>
    <w:rsid w:val="000C22F7"/>
    <w:rsid w:val="000C706E"/>
    <w:rsid w:val="000C7577"/>
    <w:rsid w:val="000D0C39"/>
    <w:rsid w:val="000D1176"/>
    <w:rsid w:val="000D5176"/>
    <w:rsid w:val="000D5B55"/>
    <w:rsid w:val="000D62B6"/>
    <w:rsid w:val="000D7D36"/>
    <w:rsid w:val="000E002C"/>
    <w:rsid w:val="000E0D80"/>
    <w:rsid w:val="000E21E7"/>
    <w:rsid w:val="000E257B"/>
    <w:rsid w:val="000E2966"/>
    <w:rsid w:val="000E29BE"/>
    <w:rsid w:val="000E559A"/>
    <w:rsid w:val="000E56AC"/>
    <w:rsid w:val="000E7215"/>
    <w:rsid w:val="000F1038"/>
    <w:rsid w:val="000F2CEB"/>
    <w:rsid w:val="000F558D"/>
    <w:rsid w:val="000F6346"/>
    <w:rsid w:val="000F6BB0"/>
    <w:rsid w:val="00100B9D"/>
    <w:rsid w:val="0010174D"/>
    <w:rsid w:val="00103347"/>
    <w:rsid w:val="00104950"/>
    <w:rsid w:val="001073A6"/>
    <w:rsid w:val="00107F89"/>
    <w:rsid w:val="001121B3"/>
    <w:rsid w:val="001138E2"/>
    <w:rsid w:val="00114FBF"/>
    <w:rsid w:val="00116037"/>
    <w:rsid w:val="00117B02"/>
    <w:rsid w:val="00117C4F"/>
    <w:rsid w:val="00117DF1"/>
    <w:rsid w:val="00120F53"/>
    <w:rsid w:val="00121A32"/>
    <w:rsid w:val="00121DED"/>
    <w:rsid w:val="00121EB2"/>
    <w:rsid w:val="0012452D"/>
    <w:rsid w:val="00125EF2"/>
    <w:rsid w:val="00126884"/>
    <w:rsid w:val="00126C53"/>
    <w:rsid w:val="00130386"/>
    <w:rsid w:val="001309C7"/>
    <w:rsid w:val="00132AC9"/>
    <w:rsid w:val="00133473"/>
    <w:rsid w:val="001335A0"/>
    <w:rsid w:val="0013416E"/>
    <w:rsid w:val="00134A15"/>
    <w:rsid w:val="00136A15"/>
    <w:rsid w:val="00140D9B"/>
    <w:rsid w:val="0014126A"/>
    <w:rsid w:val="001435D3"/>
    <w:rsid w:val="00143CDC"/>
    <w:rsid w:val="00143F98"/>
    <w:rsid w:val="0014465C"/>
    <w:rsid w:val="00144E0A"/>
    <w:rsid w:val="00145538"/>
    <w:rsid w:val="001456A6"/>
    <w:rsid w:val="00146ED0"/>
    <w:rsid w:val="0015004F"/>
    <w:rsid w:val="00152233"/>
    <w:rsid w:val="0015243A"/>
    <w:rsid w:val="00152918"/>
    <w:rsid w:val="00156308"/>
    <w:rsid w:val="00156BB1"/>
    <w:rsid w:val="0015736C"/>
    <w:rsid w:val="00160CFF"/>
    <w:rsid w:val="00160E91"/>
    <w:rsid w:val="00164B98"/>
    <w:rsid w:val="00166179"/>
    <w:rsid w:val="00167162"/>
    <w:rsid w:val="00167990"/>
    <w:rsid w:val="00167C38"/>
    <w:rsid w:val="00171DFF"/>
    <w:rsid w:val="001722E8"/>
    <w:rsid w:val="0017449C"/>
    <w:rsid w:val="00176D82"/>
    <w:rsid w:val="00177D78"/>
    <w:rsid w:val="00177D8D"/>
    <w:rsid w:val="001806F7"/>
    <w:rsid w:val="001818E7"/>
    <w:rsid w:val="001822AA"/>
    <w:rsid w:val="00183098"/>
    <w:rsid w:val="00183641"/>
    <w:rsid w:val="00184210"/>
    <w:rsid w:val="00185931"/>
    <w:rsid w:val="001919A9"/>
    <w:rsid w:val="00191AD8"/>
    <w:rsid w:val="00192131"/>
    <w:rsid w:val="0019237B"/>
    <w:rsid w:val="00193E10"/>
    <w:rsid w:val="001945F2"/>
    <w:rsid w:val="001A0248"/>
    <w:rsid w:val="001A0C6C"/>
    <w:rsid w:val="001A3454"/>
    <w:rsid w:val="001A36D1"/>
    <w:rsid w:val="001A4815"/>
    <w:rsid w:val="001A4E52"/>
    <w:rsid w:val="001A5961"/>
    <w:rsid w:val="001A6E5F"/>
    <w:rsid w:val="001B2E20"/>
    <w:rsid w:val="001B4AE9"/>
    <w:rsid w:val="001B56C0"/>
    <w:rsid w:val="001B63BC"/>
    <w:rsid w:val="001B76AE"/>
    <w:rsid w:val="001C1D19"/>
    <w:rsid w:val="001C23AE"/>
    <w:rsid w:val="001C5190"/>
    <w:rsid w:val="001C733F"/>
    <w:rsid w:val="001C7BC9"/>
    <w:rsid w:val="001D1029"/>
    <w:rsid w:val="001D114E"/>
    <w:rsid w:val="001D1F6E"/>
    <w:rsid w:val="001D37EA"/>
    <w:rsid w:val="001D5DD9"/>
    <w:rsid w:val="001D6565"/>
    <w:rsid w:val="001D65C6"/>
    <w:rsid w:val="001D7071"/>
    <w:rsid w:val="001D7576"/>
    <w:rsid w:val="001D7F29"/>
    <w:rsid w:val="001E13CC"/>
    <w:rsid w:val="001E407B"/>
    <w:rsid w:val="001E4978"/>
    <w:rsid w:val="001E4B0F"/>
    <w:rsid w:val="001E692E"/>
    <w:rsid w:val="001E6B7C"/>
    <w:rsid w:val="001E70E0"/>
    <w:rsid w:val="001F053E"/>
    <w:rsid w:val="001F066B"/>
    <w:rsid w:val="001F18CC"/>
    <w:rsid w:val="001F4C0D"/>
    <w:rsid w:val="0020303F"/>
    <w:rsid w:val="00204325"/>
    <w:rsid w:val="00204DAD"/>
    <w:rsid w:val="00206825"/>
    <w:rsid w:val="00206C9A"/>
    <w:rsid w:val="00213145"/>
    <w:rsid w:val="0021472B"/>
    <w:rsid w:val="00215076"/>
    <w:rsid w:val="00217430"/>
    <w:rsid w:val="0022037F"/>
    <w:rsid w:val="00221C6D"/>
    <w:rsid w:val="00227A2B"/>
    <w:rsid w:val="00230427"/>
    <w:rsid w:val="00231C3D"/>
    <w:rsid w:val="00232264"/>
    <w:rsid w:val="002328EE"/>
    <w:rsid w:val="002334A0"/>
    <w:rsid w:val="002348DB"/>
    <w:rsid w:val="0023513F"/>
    <w:rsid w:val="00235E3A"/>
    <w:rsid w:val="002403E9"/>
    <w:rsid w:val="00241434"/>
    <w:rsid w:val="00243178"/>
    <w:rsid w:val="00244CD6"/>
    <w:rsid w:val="002455CE"/>
    <w:rsid w:val="0024587B"/>
    <w:rsid w:val="002458BF"/>
    <w:rsid w:val="00246383"/>
    <w:rsid w:val="00250074"/>
    <w:rsid w:val="00250CF1"/>
    <w:rsid w:val="00251441"/>
    <w:rsid w:val="002522D8"/>
    <w:rsid w:val="002525B0"/>
    <w:rsid w:val="002552B8"/>
    <w:rsid w:val="002561AC"/>
    <w:rsid w:val="002564D9"/>
    <w:rsid w:val="002574A8"/>
    <w:rsid w:val="0025766A"/>
    <w:rsid w:val="00257CDB"/>
    <w:rsid w:val="00260730"/>
    <w:rsid w:val="00260AC7"/>
    <w:rsid w:val="00261349"/>
    <w:rsid w:val="00264421"/>
    <w:rsid w:val="00265CF4"/>
    <w:rsid w:val="00266138"/>
    <w:rsid w:val="00266A05"/>
    <w:rsid w:val="00270860"/>
    <w:rsid w:val="00270B72"/>
    <w:rsid w:val="00270C3B"/>
    <w:rsid w:val="00272287"/>
    <w:rsid w:val="00272689"/>
    <w:rsid w:val="00275866"/>
    <w:rsid w:val="00275B65"/>
    <w:rsid w:val="00276DF5"/>
    <w:rsid w:val="002827B6"/>
    <w:rsid w:val="00283B54"/>
    <w:rsid w:val="002847D6"/>
    <w:rsid w:val="0028512D"/>
    <w:rsid w:val="002914D9"/>
    <w:rsid w:val="00291C53"/>
    <w:rsid w:val="002978EE"/>
    <w:rsid w:val="002A02AA"/>
    <w:rsid w:val="002A4BD6"/>
    <w:rsid w:val="002A562D"/>
    <w:rsid w:val="002A6F3E"/>
    <w:rsid w:val="002B118D"/>
    <w:rsid w:val="002B1B80"/>
    <w:rsid w:val="002B2861"/>
    <w:rsid w:val="002B3B12"/>
    <w:rsid w:val="002B4F4B"/>
    <w:rsid w:val="002B518E"/>
    <w:rsid w:val="002B5581"/>
    <w:rsid w:val="002B5B02"/>
    <w:rsid w:val="002B5F5B"/>
    <w:rsid w:val="002B6555"/>
    <w:rsid w:val="002B6AB8"/>
    <w:rsid w:val="002B6FA1"/>
    <w:rsid w:val="002C0D73"/>
    <w:rsid w:val="002C4F03"/>
    <w:rsid w:val="002C592C"/>
    <w:rsid w:val="002C6291"/>
    <w:rsid w:val="002C7089"/>
    <w:rsid w:val="002D1258"/>
    <w:rsid w:val="002D13C1"/>
    <w:rsid w:val="002D5A5A"/>
    <w:rsid w:val="002D5CB6"/>
    <w:rsid w:val="002D615A"/>
    <w:rsid w:val="002D6175"/>
    <w:rsid w:val="002D689D"/>
    <w:rsid w:val="002E0F2C"/>
    <w:rsid w:val="002E2AB0"/>
    <w:rsid w:val="002E3E94"/>
    <w:rsid w:val="002E69BD"/>
    <w:rsid w:val="002E78D8"/>
    <w:rsid w:val="002F1F1F"/>
    <w:rsid w:val="002F274D"/>
    <w:rsid w:val="002F2C9F"/>
    <w:rsid w:val="002F4C68"/>
    <w:rsid w:val="002F561C"/>
    <w:rsid w:val="002F61DF"/>
    <w:rsid w:val="002F68ED"/>
    <w:rsid w:val="002F6F5D"/>
    <w:rsid w:val="00300846"/>
    <w:rsid w:val="003030FF"/>
    <w:rsid w:val="00303102"/>
    <w:rsid w:val="003032BD"/>
    <w:rsid w:val="00303FAD"/>
    <w:rsid w:val="003047E3"/>
    <w:rsid w:val="00304B16"/>
    <w:rsid w:val="003070C3"/>
    <w:rsid w:val="003111BD"/>
    <w:rsid w:val="0031384C"/>
    <w:rsid w:val="003153B4"/>
    <w:rsid w:val="003157C1"/>
    <w:rsid w:val="00317ED0"/>
    <w:rsid w:val="00321DDC"/>
    <w:rsid w:val="00322695"/>
    <w:rsid w:val="00322F37"/>
    <w:rsid w:val="0032325C"/>
    <w:rsid w:val="003242B0"/>
    <w:rsid w:val="00324B54"/>
    <w:rsid w:val="0032608D"/>
    <w:rsid w:val="00331434"/>
    <w:rsid w:val="003314C9"/>
    <w:rsid w:val="00331942"/>
    <w:rsid w:val="00334863"/>
    <w:rsid w:val="00335019"/>
    <w:rsid w:val="00336478"/>
    <w:rsid w:val="0033662B"/>
    <w:rsid w:val="003401BF"/>
    <w:rsid w:val="00342C8A"/>
    <w:rsid w:val="00342F3E"/>
    <w:rsid w:val="00343146"/>
    <w:rsid w:val="003443BA"/>
    <w:rsid w:val="00346BF3"/>
    <w:rsid w:val="0034715C"/>
    <w:rsid w:val="0034725B"/>
    <w:rsid w:val="003514D9"/>
    <w:rsid w:val="00351FE2"/>
    <w:rsid w:val="003541D3"/>
    <w:rsid w:val="00355451"/>
    <w:rsid w:val="00355E61"/>
    <w:rsid w:val="00356B0A"/>
    <w:rsid w:val="00356D2B"/>
    <w:rsid w:val="00357926"/>
    <w:rsid w:val="003602CD"/>
    <w:rsid w:val="00360CC5"/>
    <w:rsid w:val="00360F9D"/>
    <w:rsid w:val="00362512"/>
    <w:rsid w:val="00363995"/>
    <w:rsid w:val="00364A8F"/>
    <w:rsid w:val="003676A3"/>
    <w:rsid w:val="00372AEF"/>
    <w:rsid w:val="00373D71"/>
    <w:rsid w:val="003747BC"/>
    <w:rsid w:val="00375BC0"/>
    <w:rsid w:val="00376282"/>
    <w:rsid w:val="00380821"/>
    <w:rsid w:val="0038119C"/>
    <w:rsid w:val="00381467"/>
    <w:rsid w:val="00381AC5"/>
    <w:rsid w:val="003826E9"/>
    <w:rsid w:val="0038629A"/>
    <w:rsid w:val="00390CE8"/>
    <w:rsid w:val="00391662"/>
    <w:rsid w:val="00391C4D"/>
    <w:rsid w:val="00392F0C"/>
    <w:rsid w:val="00395227"/>
    <w:rsid w:val="00395C94"/>
    <w:rsid w:val="003A0000"/>
    <w:rsid w:val="003A0873"/>
    <w:rsid w:val="003A28BA"/>
    <w:rsid w:val="003A33F8"/>
    <w:rsid w:val="003A4283"/>
    <w:rsid w:val="003B4EF0"/>
    <w:rsid w:val="003B58C6"/>
    <w:rsid w:val="003C7CCE"/>
    <w:rsid w:val="003C7EA8"/>
    <w:rsid w:val="003D0F0E"/>
    <w:rsid w:val="003D2180"/>
    <w:rsid w:val="003D2CAC"/>
    <w:rsid w:val="003D3D18"/>
    <w:rsid w:val="003D4AEB"/>
    <w:rsid w:val="003D65A8"/>
    <w:rsid w:val="003D75C3"/>
    <w:rsid w:val="003E0405"/>
    <w:rsid w:val="003E1016"/>
    <w:rsid w:val="003E19D2"/>
    <w:rsid w:val="003E2070"/>
    <w:rsid w:val="003E255C"/>
    <w:rsid w:val="003E353F"/>
    <w:rsid w:val="003E3B1C"/>
    <w:rsid w:val="003E4376"/>
    <w:rsid w:val="003E461C"/>
    <w:rsid w:val="003E4A18"/>
    <w:rsid w:val="003E6131"/>
    <w:rsid w:val="003E78A0"/>
    <w:rsid w:val="003E7CA4"/>
    <w:rsid w:val="003F1925"/>
    <w:rsid w:val="0040066D"/>
    <w:rsid w:val="00400E38"/>
    <w:rsid w:val="0040285D"/>
    <w:rsid w:val="004028F8"/>
    <w:rsid w:val="00404A1B"/>
    <w:rsid w:val="00404D8B"/>
    <w:rsid w:val="004062E1"/>
    <w:rsid w:val="00406BCD"/>
    <w:rsid w:val="00407C4D"/>
    <w:rsid w:val="00412913"/>
    <w:rsid w:val="0041384A"/>
    <w:rsid w:val="004148C6"/>
    <w:rsid w:val="0042086F"/>
    <w:rsid w:val="00420DC5"/>
    <w:rsid w:val="00420F8D"/>
    <w:rsid w:val="00421E46"/>
    <w:rsid w:val="004226A7"/>
    <w:rsid w:val="0042302D"/>
    <w:rsid w:val="004243EC"/>
    <w:rsid w:val="0042542F"/>
    <w:rsid w:val="004272DA"/>
    <w:rsid w:val="00430226"/>
    <w:rsid w:val="004319BB"/>
    <w:rsid w:val="00431B95"/>
    <w:rsid w:val="00432426"/>
    <w:rsid w:val="004336BB"/>
    <w:rsid w:val="00433AD6"/>
    <w:rsid w:val="00433BFE"/>
    <w:rsid w:val="00433CD4"/>
    <w:rsid w:val="00436806"/>
    <w:rsid w:val="00437C92"/>
    <w:rsid w:val="0044267F"/>
    <w:rsid w:val="00443A08"/>
    <w:rsid w:val="00444205"/>
    <w:rsid w:val="00446A89"/>
    <w:rsid w:val="00453650"/>
    <w:rsid w:val="00454BC3"/>
    <w:rsid w:val="00455E03"/>
    <w:rsid w:val="00455FD2"/>
    <w:rsid w:val="00461065"/>
    <w:rsid w:val="004623FB"/>
    <w:rsid w:val="00462967"/>
    <w:rsid w:val="00462E31"/>
    <w:rsid w:val="00462FED"/>
    <w:rsid w:val="0046367A"/>
    <w:rsid w:val="004645FD"/>
    <w:rsid w:val="00467816"/>
    <w:rsid w:val="00472AC2"/>
    <w:rsid w:val="00473816"/>
    <w:rsid w:val="0047424D"/>
    <w:rsid w:val="0047719C"/>
    <w:rsid w:val="00477FD0"/>
    <w:rsid w:val="00480370"/>
    <w:rsid w:val="00481D5B"/>
    <w:rsid w:val="00482769"/>
    <w:rsid w:val="0048298D"/>
    <w:rsid w:val="00484D3F"/>
    <w:rsid w:val="00490A16"/>
    <w:rsid w:val="004941B2"/>
    <w:rsid w:val="00495929"/>
    <w:rsid w:val="00495F00"/>
    <w:rsid w:val="00497893"/>
    <w:rsid w:val="00497A34"/>
    <w:rsid w:val="004A14D5"/>
    <w:rsid w:val="004A2479"/>
    <w:rsid w:val="004A2A01"/>
    <w:rsid w:val="004A31E7"/>
    <w:rsid w:val="004A34AF"/>
    <w:rsid w:val="004A4918"/>
    <w:rsid w:val="004A4DA6"/>
    <w:rsid w:val="004A5840"/>
    <w:rsid w:val="004A5A4F"/>
    <w:rsid w:val="004A5C07"/>
    <w:rsid w:val="004A63EA"/>
    <w:rsid w:val="004A68B0"/>
    <w:rsid w:val="004A793D"/>
    <w:rsid w:val="004B008C"/>
    <w:rsid w:val="004B25A8"/>
    <w:rsid w:val="004B2877"/>
    <w:rsid w:val="004B334A"/>
    <w:rsid w:val="004B3C6C"/>
    <w:rsid w:val="004B4009"/>
    <w:rsid w:val="004B425A"/>
    <w:rsid w:val="004B4292"/>
    <w:rsid w:val="004B4EFE"/>
    <w:rsid w:val="004B5B66"/>
    <w:rsid w:val="004B7EAA"/>
    <w:rsid w:val="004C2DEA"/>
    <w:rsid w:val="004C3D1A"/>
    <w:rsid w:val="004C4F51"/>
    <w:rsid w:val="004C627B"/>
    <w:rsid w:val="004D08DA"/>
    <w:rsid w:val="004D0BA5"/>
    <w:rsid w:val="004D130F"/>
    <w:rsid w:val="004D1E76"/>
    <w:rsid w:val="004D23D1"/>
    <w:rsid w:val="004D2507"/>
    <w:rsid w:val="004D383E"/>
    <w:rsid w:val="004D57DA"/>
    <w:rsid w:val="004D5BB7"/>
    <w:rsid w:val="004E3C29"/>
    <w:rsid w:val="004E4E68"/>
    <w:rsid w:val="004E55F7"/>
    <w:rsid w:val="004E5B21"/>
    <w:rsid w:val="004E5DED"/>
    <w:rsid w:val="004E6BB3"/>
    <w:rsid w:val="004E75EA"/>
    <w:rsid w:val="004E7EAF"/>
    <w:rsid w:val="004F093F"/>
    <w:rsid w:val="004F3EB5"/>
    <w:rsid w:val="004F4057"/>
    <w:rsid w:val="004F4942"/>
    <w:rsid w:val="004F5623"/>
    <w:rsid w:val="004F6947"/>
    <w:rsid w:val="004F6DCD"/>
    <w:rsid w:val="004F7FA1"/>
    <w:rsid w:val="0050115E"/>
    <w:rsid w:val="00501FCA"/>
    <w:rsid w:val="00503E89"/>
    <w:rsid w:val="005049F7"/>
    <w:rsid w:val="0050706C"/>
    <w:rsid w:val="005077B8"/>
    <w:rsid w:val="005125F8"/>
    <w:rsid w:val="0051372C"/>
    <w:rsid w:val="005164B4"/>
    <w:rsid w:val="00523460"/>
    <w:rsid w:val="00526AEC"/>
    <w:rsid w:val="005318D4"/>
    <w:rsid w:val="00531CA6"/>
    <w:rsid w:val="005331FB"/>
    <w:rsid w:val="00533BED"/>
    <w:rsid w:val="005351CB"/>
    <w:rsid w:val="005419E4"/>
    <w:rsid w:val="00542CBE"/>
    <w:rsid w:val="0054342E"/>
    <w:rsid w:val="00544F1C"/>
    <w:rsid w:val="005470A8"/>
    <w:rsid w:val="005470E3"/>
    <w:rsid w:val="00550502"/>
    <w:rsid w:val="00550B00"/>
    <w:rsid w:val="00553EAF"/>
    <w:rsid w:val="0055467A"/>
    <w:rsid w:val="00557479"/>
    <w:rsid w:val="005575A9"/>
    <w:rsid w:val="005601B4"/>
    <w:rsid w:val="00560ACF"/>
    <w:rsid w:val="005622BD"/>
    <w:rsid w:val="00564CD8"/>
    <w:rsid w:val="005656DD"/>
    <w:rsid w:val="00565731"/>
    <w:rsid w:val="00565AFA"/>
    <w:rsid w:val="0056666D"/>
    <w:rsid w:val="00566A11"/>
    <w:rsid w:val="00566D47"/>
    <w:rsid w:val="00572A55"/>
    <w:rsid w:val="00574A75"/>
    <w:rsid w:val="00574C6E"/>
    <w:rsid w:val="00574F60"/>
    <w:rsid w:val="00577890"/>
    <w:rsid w:val="00577E81"/>
    <w:rsid w:val="00580158"/>
    <w:rsid w:val="005834BF"/>
    <w:rsid w:val="00586B57"/>
    <w:rsid w:val="00587060"/>
    <w:rsid w:val="00587764"/>
    <w:rsid w:val="00587E60"/>
    <w:rsid w:val="0059040F"/>
    <w:rsid w:val="005909B4"/>
    <w:rsid w:val="005912F8"/>
    <w:rsid w:val="00592D15"/>
    <w:rsid w:val="005931C8"/>
    <w:rsid w:val="00594F2A"/>
    <w:rsid w:val="00595B52"/>
    <w:rsid w:val="00595E23"/>
    <w:rsid w:val="0059782E"/>
    <w:rsid w:val="005A0752"/>
    <w:rsid w:val="005A0B73"/>
    <w:rsid w:val="005A1516"/>
    <w:rsid w:val="005A2CE6"/>
    <w:rsid w:val="005A345E"/>
    <w:rsid w:val="005A6C8B"/>
    <w:rsid w:val="005B0C2B"/>
    <w:rsid w:val="005B3159"/>
    <w:rsid w:val="005B3B6D"/>
    <w:rsid w:val="005B767E"/>
    <w:rsid w:val="005C6A04"/>
    <w:rsid w:val="005D03C2"/>
    <w:rsid w:val="005D04D1"/>
    <w:rsid w:val="005D1F50"/>
    <w:rsid w:val="005D725B"/>
    <w:rsid w:val="005D77DC"/>
    <w:rsid w:val="005E0909"/>
    <w:rsid w:val="005E1230"/>
    <w:rsid w:val="005E2CBE"/>
    <w:rsid w:val="005E2E5A"/>
    <w:rsid w:val="005E3292"/>
    <w:rsid w:val="005E33F9"/>
    <w:rsid w:val="005E3921"/>
    <w:rsid w:val="005E6851"/>
    <w:rsid w:val="005E6AA9"/>
    <w:rsid w:val="005E724A"/>
    <w:rsid w:val="005E7B31"/>
    <w:rsid w:val="005F084F"/>
    <w:rsid w:val="005F25F1"/>
    <w:rsid w:val="005F260D"/>
    <w:rsid w:val="005F2DCF"/>
    <w:rsid w:val="005F5C6C"/>
    <w:rsid w:val="005F63A0"/>
    <w:rsid w:val="005F64F1"/>
    <w:rsid w:val="0060001F"/>
    <w:rsid w:val="00600897"/>
    <w:rsid w:val="00600B60"/>
    <w:rsid w:val="00601D7C"/>
    <w:rsid w:val="00602523"/>
    <w:rsid w:val="00602567"/>
    <w:rsid w:val="006044D0"/>
    <w:rsid w:val="0060758D"/>
    <w:rsid w:val="0061044C"/>
    <w:rsid w:val="006107FA"/>
    <w:rsid w:val="00614598"/>
    <w:rsid w:val="00621D5C"/>
    <w:rsid w:val="006222EE"/>
    <w:rsid w:val="00622783"/>
    <w:rsid w:val="00623460"/>
    <w:rsid w:val="00624799"/>
    <w:rsid w:val="0062511D"/>
    <w:rsid w:val="00626908"/>
    <w:rsid w:val="006271B9"/>
    <w:rsid w:val="0063036E"/>
    <w:rsid w:val="00631949"/>
    <w:rsid w:val="00631B5F"/>
    <w:rsid w:val="00631E72"/>
    <w:rsid w:val="00632011"/>
    <w:rsid w:val="00633BE7"/>
    <w:rsid w:val="00633DE7"/>
    <w:rsid w:val="00634304"/>
    <w:rsid w:val="00635F18"/>
    <w:rsid w:val="006405A8"/>
    <w:rsid w:val="00641612"/>
    <w:rsid w:val="00642778"/>
    <w:rsid w:val="00646E3B"/>
    <w:rsid w:val="006505A7"/>
    <w:rsid w:val="0065086A"/>
    <w:rsid w:val="006525CA"/>
    <w:rsid w:val="006533CF"/>
    <w:rsid w:val="00653BAA"/>
    <w:rsid w:val="00654223"/>
    <w:rsid w:val="00655479"/>
    <w:rsid w:val="00656D0B"/>
    <w:rsid w:val="00657024"/>
    <w:rsid w:val="00660939"/>
    <w:rsid w:val="006614E5"/>
    <w:rsid w:val="00661823"/>
    <w:rsid w:val="00662D6C"/>
    <w:rsid w:val="00663AE5"/>
    <w:rsid w:val="00663B5E"/>
    <w:rsid w:val="00664273"/>
    <w:rsid w:val="006646C3"/>
    <w:rsid w:val="0066562C"/>
    <w:rsid w:val="00666F20"/>
    <w:rsid w:val="00671A9B"/>
    <w:rsid w:val="00671C48"/>
    <w:rsid w:val="0067369B"/>
    <w:rsid w:val="006771C8"/>
    <w:rsid w:val="006772F3"/>
    <w:rsid w:val="0068136D"/>
    <w:rsid w:val="00682791"/>
    <w:rsid w:val="00684661"/>
    <w:rsid w:val="00684AC6"/>
    <w:rsid w:val="00686012"/>
    <w:rsid w:val="006861A1"/>
    <w:rsid w:val="00687ED6"/>
    <w:rsid w:val="00692273"/>
    <w:rsid w:val="0069455A"/>
    <w:rsid w:val="00695B9F"/>
    <w:rsid w:val="00695D54"/>
    <w:rsid w:val="00696A85"/>
    <w:rsid w:val="00696D24"/>
    <w:rsid w:val="006A0336"/>
    <w:rsid w:val="006A0612"/>
    <w:rsid w:val="006A20BA"/>
    <w:rsid w:val="006A49C1"/>
    <w:rsid w:val="006A6170"/>
    <w:rsid w:val="006A673E"/>
    <w:rsid w:val="006A79F8"/>
    <w:rsid w:val="006B04E9"/>
    <w:rsid w:val="006B26F9"/>
    <w:rsid w:val="006B339C"/>
    <w:rsid w:val="006B5F8C"/>
    <w:rsid w:val="006B6793"/>
    <w:rsid w:val="006C02D5"/>
    <w:rsid w:val="006C1A49"/>
    <w:rsid w:val="006C1B0D"/>
    <w:rsid w:val="006C59CF"/>
    <w:rsid w:val="006D1635"/>
    <w:rsid w:val="006D2038"/>
    <w:rsid w:val="006D21F0"/>
    <w:rsid w:val="006D27DC"/>
    <w:rsid w:val="006D3FF4"/>
    <w:rsid w:val="006D44D3"/>
    <w:rsid w:val="006D49BC"/>
    <w:rsid w:val="006D60C6"/>
    <w:rsid w:val="006E0B58"/>
    <w:rsid w:val="006E2B3D"/>
    <w:rsid w:val="006E52D4"/>
    <w:rsid w:val="006F1089"/>
    <w:rsid w:val="006F14DF"/>
    <w:rsid w:val="006F22AF"/>
    <w:rsid w:val="006F2735"/>
    <w:rsid w:val="006F3205"/>
    <w:rsid w:val="006F3ABC"/>
    <w:rsid w:val="006F50D9"/>
    <w:rsid w:val="007019D7"/>
    <w:rsid w:val="00701D00"/>
    <w:rsid w:val="00701D17"/>
    <w:rsid w:val="00702611"/>
    <w:rsid w:val="00704BB0"/>
    <w:rsid w:val="007057AC"/>
    <w:rsid w:val="00705F36"/>
    <w:rsid w:val="007060CD"/>
    <w:rsid w:val="00706736"/>
    <w:rsid w:val="00710CB2"/>
    <w:rsid w:val="00711D50"/>
    <w:rsid w:val="00712113"/>
    <w:rsid w:val="0071219C"/>
    <w:rsid w:val="00712DDD"/>
    <w:rsid w:val="00713EE6"/>
    <w:rsid w:val="007156A0"/>
    <w:rsid w:val="00716A2B"/>
    <w:rsid w:val="00717DC5"/>
    <w:rsid w:val="0072047C"/>
    <w:rsid w:val="007218C1"/>
    <w:rsid w:val="00722823"/>
    <w:rsid w:val="00724D9B"/>
    <w:rsid w:val="00724F4F"/>
    <w:rsid w:val="00725801"/>
    <w:rsid w:val="00730010"/>
    <w:rsid w:val="00730A51"/>
    <w:rsid w:val="00732ABD"/>
    <w:rsid w:val="00732C2C"/>
    <w:rsid w:val="00734898"/>
    <w:rsid w:val="00735A4E"/>
    <w:rsid w:val="00735ED3"/>
    <w:rsid w:val="0074079E"/>
    <w:rsid w:val="00740C0D"/>
    <w:rsid w:val="00741B13"/>
    <w:rsid w:val="00741CF0"/>
    <w:rsid w:val="00742763"/>
    <w:rsid w:val="00744326"/>
    <w:rsid w:val="007462DF"/>
    <w:rsid w:val="00750C9D"/>
    <w:rsid w:val="00750D32"/>
    <w:rsid w:val="007511E3"/>
    <w:rsid w:val="00753859"/>
    <w:rsid w:val="00756202"/>
    <w:rsid w:val="00757082"/>
    <w:rsid w:val="00761304"/>
    <w:rsid w:val="00761661"/>
    <w:rsid w:val="0076183C"/>
    <w:rsid w:val="00764DD3"/>
    <w:rsid w:val="00764E2B"/>
    <w:rsid w:val="0076511D"/>
    <w:rsid w:val="00767604"/>
    <w:rsid w:val="007728D3"/>
    <w:rsid w:val="00772B57"/>
    <w:rsid w:val="0077351A"/>
    <w:rsid w:val="00773DBD"/>
    <w:rsid w:val="0077438D"/>
    <w:rsid w:val="007755F1"/>
    <w:rsid w:val="00775E7F"/>
    <w:rsid w:val="00784311"/>
    <w:rsid w:val="0078435B"/>
    <w:rsid w:val="00784F83"/>
    <w:rsid w:val="007850E4"/>
    <w:rsid w:val="0078719E"/>
    <w:rsid w:val="00787F68"/>
    <w:rsid w:val="00790F44"/>
    <w:rsid w:val="00791A48"/>
    <w:rsid w:val="00792244"/>
    <w:rsid w:val="00792B85"/>
    <w:rsid w:val="00793CEE"/>
    <w:rsid w:val="00794D9E"/>
    <w:rsid w:val="00796547"/>
    <w:rsid w:val="00797C01"/>
    <w:rsid w:val="00797C42"/>
    <w:rsid w:val="00797D8C"/>
    <w:rsid w:val="007A06ED"/>
    <w:rsid w:val="007A2632"/>
    <w:rsid w:val="007A281E"/>
    <w:rsid w:val="007A34BB"/>
    <w:rsid w:val="007A562F"/>
    <w:rsid w:val="007A569B"/>
    <w:rsid w:val="007A6B58"/>
    <w:rsid w:val="007A7C5C"/>
    <w:rsid w:val="007B28E2"/>
    <w:rsid w:val="007B2CF5"/>
    <w:rsid w:val="007B3F7A"/>
    <w:rsid w:val="007B5A83"/>
    <w:rsid w:val="007B6D0D"/>
    <w:rsid w:val="007C0D77"/>
    <w:rsid w:val="007C3B1E"/>
    <w:rsid w:val="007C4708"/>
    <w:rsid w:val="007C5F1D"/>
    <w:rsid w:val="007C6DC4"/>
    <w:rsid w:val="007C731F"/>
    <w:rsid w:val="007D0BEE"/>
    <w:rsid w:val="007D10D5"/>
    <w:rsid w:val="007D1C41"/>
    <w:rsid w:val="007D69E7"/>
    <w:rsid w:val="007D7B1C"/>
    <w:rsid w:val="007D7FCC"/>
    <w:rsid w:val="007E069F"/>
    <w:rsid w:val="007E0871"/>
    <w:rsid w:val="007E0ACA"/>
    <w:rsid w:val="007E1B18"/>
    <w:rsid w:val="007E213C"/>
    <w:rsid w:val="007E2761"/>
    <w:rsid w:val="007E27DC"/>
    <w:rsid w:val="007E3B5D"/>
    <w:rsid w:val="007E5C0A"/>
    <w:rsid w:val="007E60E3"/>
    <w:rsid w:val="007F2909"/>
    <w:rsid w:val="0080003B"/>
    <w:rsid w:val="00803075"/>
    <w:rsid w:val="0080369A"/>
    <w:rsid w:val="00812452"/>
    <w:rsid w:val="00812980"/>
    <w:rsid w:val="00821366"/>
    <w:rsid w:val="00825283"/>
    <w:rsid w:val="00831659"/>
    <w:rsid w:val="00835219"/>
    <w:rsid w:val="00835C67"/>
    <w:rsid w:val="00836962"/>
    <w:rsid w:val="00837017"/>
    <w:rsid w:val="008370B5"/>
    <w:rsid w:val="008370F0"/>
    <w:rsid w:val="00837A5F"/>
    <w:rsid w:val="00837D33"/>
    <w:rsid w:val="00840A84"/>
    <w:rsid w:val="00841BD5"/>
    <w:rsid w:val="00841F07"/>
    <w:rsid w:val="00843BC0"/>
    <w:rsid w:val="008450E4"/>
    <w:rsid w:val="00845422"/>
    <w:rsid w:val="00845C68"/>
    <w:rsid w:val="00850696"/>
    <w:rsid w:val="008513F6"/>
    <w:rsid w:val="00852019"/>
    <w:rsid w:val="0085261E"/>
    <w:rsid w:val="008531A7"/>
    <w:rsid w:val="008574C4"/>
    <w:rsid w:val="0085767D"/>
    <w:rsid w:val="0086056C"/>
    <w:rsid w:val="0086343A"/>
    <w:rsid w:val="00872705"/>
    <w:rsid w:val="00873D51"/>
    <w:rsid w:val="00874B59"/>
    <w:rsid w:val="00875396"/>
    <w:rsid w:val="008769A2"/>
    <w:rsid w:val="008772D6"/>
    <w:rsid w:val="008808C8"/>
    <w:rsid w:val="0088275E"/>
    <w:rsid w:val="008855DC"/>
    <w:rsid w:val="00885D5C"/>
    <w:rsid w:val="008870CF"/>
    <w:rsid w:val="00891C32"/>
    <w:rsid w:val="0089271C"/>
    <w:rsid w:val="008932D8"/>
    <w:rsid w:val="00893E52"/>
    <w:rsid w:val="008A0221"/>
    <w:rsid w:val="008A117F"/>
    <w:rsid w:val="008A20B2"/>
    <w:rsid w:val="008A20CE"/>
    <w:rsid w:val="008A475D"/>
    <w:rsid w:val="008A6D5B"/>
    <w:rsid w:val="008A7B96"/>
    <w:rsid w:val="008A7E95"/>
    <w:rsid w:val="008B1B04"/>
    <w:rsid w:val="008B23F8"/>
    <w:rsid w:val="008B2B44"/>
    <w:rsid w:val="008B3550"/>
    <w:rsid w:val="008B43D3"/>
    <w:rsid w:val="008B65BD"/>
    <w:rsid w:val="008B75AD"/>
    <w:rsid w:val="008C005A"/>
    <w:rsid w:val="008C0CB3"/>
    <w:rsid w:val="008C2710"/>
    <w:rsid w:val="008C327A"/>
    <w:rsid w:val="008C6B03"/>
    <w:rsid w:val="008D046F"/>
    <w:rsid w:val="008D0B3C"/>
    <w:rsid w:val="008D1ECF"/>
    <w:rsid w:val="008D2833"/>
    <w:rsid w:val="008D684F"/>
    <w:rsid w:val="008D792F"/>
    <w:rsid w:val="008E047E"/>
    <w:rsid w:val="008E2E12"/>
    <w:rsid w:val="008E3248"/>
    <w:rsid w:val="008E4050"/>
    <w:rsid w:val="008E4A6A"/>
    <w:rsid w:val="008E524C"/>
    <w:rsid w:val="008E63E7"/>
    <w:rsid w:val="008E68D0"/>
    <w:rsid w:val="008E6DD2"/>
    <w:rsid w:val="008F0E9A"/>
    <w:rsid w:val="008F135F"/>
    <w:rsid w:val="008F1B5F"/>
    <w:rsid w:val="008F231E"/>
    <w:rsid w:val="008F4C3E"/>
    <w:rsid w:val="008F5403"/>
    <w:rsid w:val="008F5748"/>
    <w:rsid w:val="008F6855"/>
    <w:rsid w:val="00900229"/>
    <w:rsid w:val="0090045E"/>
    <w:rsid w:val="009006B4"/>
    <w:rsid w:val="00902681"/>
    <w:rsid w:val="00904601"/>
    <w:rsid w:val="00904FF3"/>
    <w:rsid w:val="00907CCE"/>
    <w:rsid w:val="009120B6"/>
    <w:rsid w:val="0091299D"/>
    <w:rsid w:val="00912FBF"/>
    <w:rsid w:val="00921190"/>
    <w:rsid w:val="00921DCF"/>
    <w:rsid w:val="00923163"/>
    <w:rsid w:val="00923614"/>
    <w:rsid w:val="00926805"/>
    <w:rsid w:val="009300C4"/>
    <w:rsid w:val="00932461"/>
    <w:rsid w:val="0093496F"/>
    <w:rsid w:val="00936CDE"/>
    <w:rsid w:val="00940461"/>
    <w:rsid w:val="00940546"/>
    <w:rsid w:val="00941A64"/>
    <w:rsid w:val="00942163"/>
    <w:rsid w:val="00942D0E"/>
    <w:rsid w:val="00943D58"/>
    <w:rsid w:val="00950496"/>
    <w:rsid w:val="00950D28"/>
    <w:rsid w:val="009510AC"/>
    <w:rsid w:val="009521EC"/>
    <w:rsid w:val="0095252D"/>
    <w:rsid w:val="009543DA"/>
    <w:rsid w:val="00956233"/>
    <w:rsid w:val="00956FC4"/>
    <w:rsid w:val="0096132B"/>
    <w:rsid w:val="00961885"/>
    <w:rsid w:val="00962B8F"/>
    <w:rsid w:val="0096645A"/>
    <w:rsid w:val="00971386"/>
    <w:rsid w:val="00971810"/>
    <w:rsid w:val="009719CC"/>
    <w:rsid w:val="00971BCE"/>
    <w:rsid w:val="00971CBC"/>
    <w:rsid w:val="00971D8C"/>
    <w:rsid w:val="0097215C"/>
    <w:rsid w:val="009736CE"/>
    <w:rsid w:val="00973A22"/>
    <w:rsid w:val="00980142"/>
    <w:rsid w:val="009803F1"/>
    <w:rsid w:val="0098258C"/>
    <w:rsid w:val="009828C7"/>
    <w:rsid w:val="00983A86"/>
    <w:rsid w:val="00983ECB"/>
    <w:rsid w:val="009864F7"/>
    <w:rsid w:val="00986596"/>
    <w:rsid w:val="009871AC"/>
    <w:rsid w:val="00987A2D"/>
    <w:rsid w:val="00990FCA"/>
    <w:rsid w:val="0099212A"/>
    <w:rsid w:val="00992AC2"/>
    <w:rsid w:val="00993F86"/>
    <w:rsid w:val="00994E55"/>
    <w:rsid w:val="009953E3"/>
    <w:rsid w:val="00996604"/>
    <w:rsid w:val="009A0EB7"/>
    <w:rsid w:val="009A2FF7"/>
    <w:rsid w:val="009A30EC"/>
    <w:rsid w:val="009A3892"/>
    <w:rsid w:val="009A4263"/>
    <w:rsid w:val="009B0954"/>
    <w:rsid w:val="009B2A80"/>
    <w:rsid w:val="009B4AC6"/>
    <w:rsid w:val="009B4D5D"/>
    <w:rsid w:val="009B50E0"/>
    <w:rsid w:val="009B63CB"/>
    <w:rsid w:val="009B66FB"/>
    <w:rsid w:val="009B73B7"/>
    <w:rsid w:val="009B7AD3"/>
    <w:rsid w:val="009C17F7"/>
    <w:rsid w:val="009C22D9"/>
    <w:rsid w:val="009C2793"/>
    <w:rsid w:val="009C7164"/>
    <w:rsid w:val="009D0068"/>
    <w:rsid w:val="009D0A25"/>
    <w:rsid w:val="009D1550"/>
    <w:rsid w:val="009D29CA"/>
    <w:rsid w:val="009D38E3"/>
    <w:rsid w:val="009D3A46"/>
    <w:rsid w:val="009D3FAA"/>
    <w:rsid w:val="009D43AD"/>
    <w:rsid w:val="009D62EE"/>
    <w:rsid w:val="009D7857"/>
    <w:rsid w:val="009E2ADF"/>
    <w:rsid w:val="009E5319"/>
    <w:rsid w:val="009E5534"/>
    <w:rsid w:val="009E5993"/>
    <w:rsid w:val="009E77F8"/>
    <w:rsid w:val="009F3501"/>
    <w:rsid w:val="009F6286"/>
    <w:rsid w:val="009F6399"/>
    <w:rsid w:val="00A02304"/>
    <w:rsid w:val="00A025D3"/>
    <w:rsid w:val="00A05DA6"/>
    <w:rsid w:val="00A06686"/>
    <w:rsid w:val="00A07805"/>
    <w:rsid w:val="00A10F27"/>
    <w:rsid w:val="00A1283E"/>
    <w:rsid w:val="00A12895"/>
    <w:rsid w:val="00A12B7A"/>
    <w:rsid w:val="00A12D83"/>
    <w:rsid w:val="00A13715"/>
    <w:rsid w:val="00A13AAA"/>
    <w:rsid w:val="00A15842"/>
    <w:rsid w:val="00A15A83"/>
    <w:rsid w:val="00A16C88"/>
    <w:rsid w:val="00A20B53"/>
    <w:rsid w:val="00A26010"/>
    <w:rsid w:val="00A27835"/>
    <w:rsid w:val="00A32EE2"/>
    <w:rsid w:val="00A349E5"/>
    <w:rsid w:val="00A36102"/>
    <w:rsid w:val="00A366EC"/>
    <w:rsid w:val="00A3704E"/>
    <w:rsid w:val="00A377F3"/>
    <w:rsid w:val="00A405A8"/>
    <w:rsid w:val="00A405F2"/>
    <w:rsid w:val="00A4069D"/>
    <w:rsid w:val="00A41E9A"/>
    <w:rsid w:val="00A473D4"/>
    <w:rsid w:val="00A50779"/>
    <w:rsid w:val="00A50982"/>
    <w:rsid w:val="00A515E9"/>
    <w:rsid w:val="00A531E9"/>
    <w:rsid w:val="00A54A29"/>
    <w:rsid w:val="00A55E23"/>
    <w:rsid w:val="00A57F62"/>
    <w:rsid w:val="00A61753"/>
    <w:rsid w:val="00A623EE"/>
    <w:rsid w:val="00A63DAB"/>
    <w:rsid w:val="00A65338"/>
    <w:rsid w:val="00A658C9"/>
    <w:rsid w:val="00A65ED9"/>
    <w:rsid w:val="00A66852"/>
    <w:rsid w:val="00A66FC3"/>
    <w:rsid w:val="00A7248C"/>
    <w:rsid w:val="00A73BED"/>
    <w:rsid w:val="00A76994"/>
    <w:rsid w:val="00A805B3"/>
    <w:rsid w:val="00A818B7"/>
    <w:rsid w:val="00A82BDC"/>
    <w:rsid w:val="00A856A3"/>
    <w:rsid w:val="00A85D1D"/>
    <w:rsid w:val="00A867FC"/>
    <w:rsid w:val="00A86D47"/>
    <w:rsid w:val="00A90B76"/>
    <w:rsid w:val="00A90BD1"/>
    <w:rsid w:val="00A90FD6"/>
    <w:rsid w:val="00A9124E"/>
    <w:rsid w:val="00A929B4"/>
    <w:rsid w:val="00A94118"/>
    <w:rsid w:val="00A9688B"/>
    <w:rsid w:val="00A96F08"/>
    <w:rsid w:val="00A97A84"/>
    <w:rsid w:val="00AA005D"/>
    <w:rsid w:val="00AA4BF6"/>
    <w:rsid w:val="00AA4D4C"/>
    <w:rsid w:val="00AA707F"/>
    <w:rsid w:val="00AA727A"/>
    <w:rsid w:val="00AB0864"/>
    <w:rsid w:val="00AB63D6"/>
    <w:rsid w:val="00AC2A90"/>
    <w:rsid w:val="00AC2E19"/>
    <w:rsid w:val="00AC3238"/>
    <w:rsid w:val="00AC37C4"/>
    <w:rsid w:val="00AC3844"/>
    <w:rsid w:val="00AC462B"/>
    <w:rsid w:val="00AC4A4D"/>
    <w:rsid w:val="00AC69C1"/>
    <w:rsid w:val="00AC7590"/>
    <w:rsid w:val="00AC76BC"/>
    <w:rsid w:val="00AD08CC"/>
    <w:rsid w:val="00AD0AA3"/>
    <w:rsid w:val="00AD1A63"/>
    <w:rsid w:val="00AD28F2"/>
    <w:rsid w:val="00AD2A8B"/>
    <w:rsid w:val="00AD2C0B"/>
    <w:rsid w:val="00AD364B"/>
    <w:rsid w:val="00AD5B8E"/>
    <w:rsid w:val="00AD6685"/>
    <w:rsid w:val="00AD6BE8"/>
    <w:rsid w:val="00AE2CAB"/>
    <w:rsid w:val="00AE51B7"/>
    <w:rsid w:val="00AE5D1F"/>
    <w:rsid w:val="00AE5F21"/>
    <w:rsid w:val="00AF0989"/>
    <w:rsid w:val="00AF10D1"/>
    <w:rsid w:val="00AF1C3E"/>
    <w:rsid w:val="00AF3424"/>
    <w:rsid w:val="00AF3CF0"/>
    <w:rsid w:val="00AF5451"/>
    <w:rsid w:val="00AF5EED"/>
    <w:rsid w:val="00AF6A62"/>
    <w:rsid w:val="00AF7206"/>
    <w:rsid w:val="00AF7BDD"/>
    <w:rsid w:val="00B01A3B"/>
    <w:rsid w:val="00B026F7"/>
    <w:rsid w:val="00B03FFD"/>
    <w:rsid w:val="00B05350"/>
    <w:rsid w:val="00B06EA9"/>
    <w:rsid w:val="00B078AE"/>
    <w:rsid w:val="00B11FAA"/>
    <w:rsid w:val="00B1228A"/>
    <w:rsid w:val="00B13251"/>
    <w:rsid w:val="00B14CF0"/>
    <w:rsid w:val="00B14FA5"/>
    <w:rsid w:val="00B16DB6"/>
    <w:rsid w:val="00B20B36"/>
    <w:rsid w:val="00B20B55"/>
    <w:rsid w:val="00B234DF"/>
    <w:rsid w:val="00B25EC9"/>
    <w:rsid w:val="00B25ED5"/>
    <w:rsid w:val="00B26579"/>
    <w:rsid w:val="00B30BD8"/>
    <w:rsid w:val="00B326BB"/>
    <w:rsid w:val="00B32DC8"/>
    <w:rsid w:val="00B346E0"/>
    <w:rsid w:val="00B35537"/>
    <w:rsid w:val="00B35638"/>
    <w:rsid w:val="00B370EA"/>
    <w:rsid w:val="00B40413"/>
    <w:rsid w:val="00B408AA"/>
    <w:rsid w:val="00B431CD"/>
    <w:rsid w:val="00B43D67"/>
    <w:rsid w:val="00B441E0"/>
    <w:rsid w:val="00B45B00"/>
    <w:rsid w:val="00B46285"/>
    <w:rsid w:val="00B47456"/>
    <w:rsid w:val="00B47D3E"/>
    <w:rsid w:val="00B50856"/>
    <w:rsid w:val="00B5145F"/>
    <w:rsid w:val="00B52779"/>
    <w:rsid w:val="00B53BCE"/>
    <w:rsid w:val="00B57976"/>
    <w:rsid w:val="00B61BD9"/>
    <w:rsid w:val="00B634DB"/>
    <w:rsid w:val="00B6441A"/>
    <w:rsid w:val="00B661D1"/>
    <w:rsid w:val="00B667AF"/>
    <w:rsid w:val="00B70B19"/>
    <w:rsid w:val="00B7195E"/>
    <w:rsid w:val="00B7320E"/>
    <w:rsid w:val="00B73AEE"/>
    <w:rsid w:val="00B747C4"/>
    <w:rsid w:val="00B76FF9"/>
    <w:rsid w:val="00B835CE"/>
    <w:rsid w:val="00B925AB"/>
    <w:rsid w:val="00B92A17"/>
    <w:rsid w:val="00B93537"/>
    <w:rsid w:val="00B94FE9"/>
    <w:rsid w:val="00B9521F"/>
    <w:rsid w:val="00B97ED1"/>
    <w:rsid w:val="00BA045E"/>
    <w:rsid w:val="00BA3075"/>
    <w:rsid w:val="00BA49F2"/>
    <w:rsid w:val="00BA5DE5"/>
    <w:rsid w:val="00BA68DB"/>
    <w:rsid w:val="00BB18C3"/>
    <w:rsid w:val="00BB28F7"/>
    <w:rsid w:val="00BB4805"/>
    <w:rsid w:val="00BB6B63"/>
    <w:rsid w:val="00BB6E62"/>
    <w:rsid w:val="00BC0095"/>
    <w:rsid w:val="00BC1848"/>
    <w:rsid w:val="00BC3B92"/>
    <w:rsid w:val="00BC51FE"/>
    <w:rsid w:val="00BC54BD"/>
    <w:rsid w:val="00BD2413"/>
    <w:rsid w:val="00BD32AE"/>
    <w:rsid w:val="00BD3AF5"/>
    <w:rsid w:val="00BD415E"/>
    <w:rsid w:val="00BD5C65"/>
    <w:rsid w:val="00BD7169"/>
    <w:rsid w:val="00BE039E"/>
    <w:rsid w:val="00BE059A"/>
    <w:rsid w:val="00BE51FF"/>
    <w:rsid w:val="00BE5D53"/>
    <w:rsid w:val="00BE641D"/>
    <w:rsid w:val="00BE75CE"/>
    <w:rsid w:val="00BF07EE"/>
    <w:rsid w:val="00BF0833"/>
    <w:rsid w:val="00BF207F"/>
    <w:rsid w:val="00BF234E"/>
    <w:rsid w:val="00BF5E86"/>
    <w:rsid w:val="00C00634"/>
    <w:rsid w:val="00C0122C"/>
    <w:rsid w:val="00C013A3"/>
    <w:rsid w:val="00C039E2"/>
    <w:rsid w:val="00C058E8"/>
    <w:rsid w:val="00C075CE"/>
    <w:rsid w:val="00C078CB"/>
    <w:rsid w:val="00C07C2E"/>
    <w:rsid w:val="00C103A5"/>
    <w:rsid w:val="00C10997"/>
    <w:rsid w:val="00C11F58"/>
    <w:rsid w:val="00C12C5D"/>
    <w:rsid w:val="00C14289"/>
    <w:rsid w:val="00C14C50"/>
    <w:rsid w:val="00C1709D"/>
    <w:rsid w:val="00C1799B"/>
    <w:rsid w:val="00C20520"/>
    <w:rsid w:val="00C21B51"/>
    <w:rsid w:val="00C22C0B"/>
    <w:rsid w:val="00C230EE"/>
    <w:rsid w:val="00C25192"/>
    <w:rsid w:val="00C257F2"/>
    <w:rsid w:val="00C26409"/>
    <w:rsid w:val="00C26FA7"/>
    <w:rsid w:val="00C27677"/>
    <w:rsid w:val="00C303C4"/>
    <w:rsid w:val="00C309FF"/>
    <w:rsid w:val="00C3263D"/>
    <w:rsid w:val="00C32B77"/>
    <w:rsid w:val="00C33779"/>
    <w:rsid w:val="00C34954"/>
    <w:rsid w:val="00C35090"/>
    <w:rsid w:val="00C37B6D"/>
    <w:rsid w:val="00C406B3"/>
    <w:rsid w:val="00C41AAA"/>
    <w:rsid w:val="00C421B9"/>
    <w:rsid w:val="00C439C8"/>
    <w:rsid w:val="00C4401B"/>
    <w:rsid w:val="00C44365"/>
    <w:rsid w:val="00C50A51"/>
    <w:rsid w:val="00C52827"/>
    <w:rsid w:val="00C529E8"/>
    <w:rsid w:val="00C52F54"/>
    <w:rsid w:val="00C53953"/>
    <w:rsid w:val="00C56A7A"/>
    <w:rsid w:val="00C63770"/>
    <w:rsid w:val="00C64AF5"/>
    <w:rsid w:val="00C64DEC"/>
    <w:rsid w:val="00C6648A"/>
    <w:rsid w:val="00C66511"/>
    <w:rsid w:val="00C67C4E"/>
    <w:rsid w:val="00C73396"/>
    <w:rsid w:val="00C738C0"/>
    <w:rsid w:val="00C73C38"/>
    <w:rsid w:val="00C75DDD"/>
    <w:rsid w:val="00C75FC2"/>
    <w:rsid w:val="00C81CD0"/>
    <w:rsid w:val="00C81D6B"/>
    <w:rsid w:val="00C81FFA"/>
    <w:rsid w:val="00C82E03"/>
    <w:rsid w:val="00C83371"/>
    <w:rsid w:val="00C839A3"/>
    <w:rsid w:val="00C83B6D"/>
    <w:rsid w:val="00C8429C"/>
    <w:rsid w:val="00C84467"/>
    <w:rsid w:val="00C87AA0"/>
    <w:rsid w:val="00C9182F"/>
    <w:rsid w:val="00C973F8"/>
    <w:rsid w:val="00CA294C"/>
    <w:rsid w:val="00CA3383"/>
    <w:rsid w:val="00CA3FE1"/>
    <w:rsid w:val="00CA4AB9"/>
    <w:rsid w:val="00CA50DB"/>
    <w:rsid w:val="00CB07C2"/>
    <w:rsid w:val="00CB1AE6"/>
    <w:rsid w:val="00CB2BD5"/>
    <w:rsid w:val="00CB48FC"/>
    <w:rsid w:val="00CB63CA"/>
    <w:rsid w:val="00CB648E"/>
    <w:rsid w:val="00CB66B0"/>
    <w:rsid w:val="00CB6A16"/>
    <w:rsid w:val="00CB7941"/>
    <w:rsid w:val="00CC06EB"/>
    <w:rsid w:val="00CC2E5D"/>
    <w:rsid w:val="00CC4140"/>
    <w:rsid w:val="00CC4326"/>
    <w:rsid w:val="00CC4D03"/>
    <w:rsid w:val="00CD368B"/>
    <w:rsid w:val="00CD3F31"/>
    <w:rsid w:val="00CD4107"/>
    <w:rsid w:val="00CD4B01"/>
    <w:rsid w:val="00CD4D37"/>
    <w:rsid w:val="00CD55BE"/>
    <w:rsid w:val="00CD68C8"/>
    <w:rsid w:val="00CD6DDD"/>
    <w:rsid w:val="00CD6FDE"/>
    <w:rsid w:val="00CD78E4"/>
    <w:rsid w:val="00CE46D0"/>
    <w:rsid w:val="00CE68D0"/>
    <w:rsid w:val="00CE7840"/>
    <w:rsid w:val="00CE7D2C"/>
    <w:rsid w:val="00CF02B9"/>
    <w:rsid w:val="00CF1E48"/>
    <w:rsid w:val="00CF1F3A"/>
    <w:rsid w:val="00CF2698"/>
    <w:rsid w:val="00CF2BFC"/>
    <w:rsid w:val="00CF456F"/>
    <w:rsid w:val="00CF59BF"/>
    <w:rsid w:val="00CF7812"/>
    <w:rsid w:val="00D0040D"/>
    <w:rsid w:val="00D01B8C"/>
    <w:rsid w:val="00D021E6"/>
    <w:rsid w:val="00D02FBD"/>
    <w:rsid w:val="00D03BB2"/>
    <w:rsid w:val="00D07C6B"/>
    <w:rsid w:val="00D10C80"/>
    <w:rsid w:val="00D20285"/>
    <w:rsid w:val="00D20817"/>
    <w:rsid w:val="00D20AFA"/>
    <w:rsid w:val="00D20C3B"/>
    <w:rsid w:val="00D21D51"/>
    <w:rsid w:val="00D2285D"/>
    <w:rsid w:val="00D23F99"/>
    <w:rsid w:val="00D2688B"/>
    <w:rsid w:val="00D2742C"/>
    <w:rsid w:val="00D31FD4"/>
    <w:rsid w:val="00D34802"/>
    <w:rsid w:val="00D35E20"/>
    <w:rsid w:val="00D375ED"/>
    <w:rsid w:val="00D400AC"/>
    <w:rsid w:val="00D40FC8"/>
    <w:rsid w:val="00D411DE"/>
    <w:rsid w:val="00D4124D"/>
    <w:rsid w:val="00D42EE8"/>
    <w:rsid w:val="00D4407E"/>
    <w:rsid w:val="00D456DC"/>
    <w:rsid w:val="00D45B29"/>
    <w:rsid w:val="00D45C56"/>
    <w:rsid w:val="00D467D3"/>
    <w:rsid w:val="00D4770F"/>
    <w:rsid w:val="00D513DA"/>
    <w:rsid w:val="00D5199C"/>
    <w:rsid w:val="00D5303C"/>
    <w:rsid w:val="00D54177"/>
    <w:rsid w:val="00D565B4"/>
    <w:rsid w:val="00D57C88"/>
    <w:rsid w:val="00D57FC3"/>
    <w:rsid w:val="00D61BC1"/>
    <w:rsid w:val="00D62E3D"/>
    <w:rsid w:val="00D6344B"/>
    <w:rsid w:val="00D639E3"/>
    <w:rsid w:val="00D63DAD"/>
    <w:rsid w:val="00D64278"/>
    <w:rsid w:val="00D65539"/>
    <w:rsid w:val="00D66AE5"/>
    <w:rsid w:val="00D67D59"/>
    <w:rsid w:val="00D713DC"/>
    <w:rsid w:val="00D73999"/>
    <w:rsid w:val="00D7733F"/>
    <w:rsid w:val="00D810E0"/>
    <w:rsid w:val="00D811CC"/>
    <w:rsid w:val="00D82255"/>
    <w:rsid w:val="00D8322D"/>
    <w:rsid w:val="00D84D10"/>
    <w:rsid w:val="00D868F3"/>
    <w:rsid w:val="00D87E8A"/>
    <w:rsid w:val="00D92901"/>
    <w:rsid w:val="00D92EC9"/>
    <w:rsid w:val="00D942BD"/>
    <w:rsid w:val="00D95DEE"/>
    <w:rsid w:val="00DA0AD9"/>
    <w:rsid w:val="00DA49AB"/>
    <w:rsid w:val="00DA5460"/>
    <w:rsid w:val="00DA7717"/>
    <w:rsid w:val="00DA7DE7"/>
    <w:rsid w:val="00DB04C5"/>
    <w:rsid w:val="00DB0FFD"/>
    <w:rsid w:val="00DB13E8"/>
    <w:rsid w:val="00DB1805"/>
    <w:rsid w:val="00DB3277"/>
    <w:rsid w:val="00DB3300"/>
    <w:rsid w:val="00DB3B7B"/>
    <w:rsid w:val="00DB5115"/>
    <w:rsid w:val="00DB7E28"/>
    <w:rsid w:val="00DB7FC3"/>
    <w:rsid w:val="00DC0B0E"/>
    <w:rsid w:val="00DC12A5"/>
    <w:rsid w:val="00DC194C"/>
    <w:rsid w:val="00DC1BCF"/>
    <w:rsid w:val="00DC66EB"/>
    <w:rsid w:val="00DC6AD4"/>
    <w:rsid w:val="00DC77FD"/>
    <w:rsid w:val="00DD15B3"/>
    <w:rsid w:val="00DD22C3"/>
    <w:rsid w:val="00DD3FDF"/>
    <w:rsid w:val="00DD7228"/>
    <w:rsid w:val="00DE0807"/>
    <w:rsid w:val="00DE0CE4"/>
    <w:rsid w:val="00DE277B"/>
    <w:rsid w:val="00DE3CB8"/>
    <w:rsid w:val="00DE45A6"/>
    <w:rsid w:val="00DE5144"/>
    <w:rsid w:val="00DE6012"/>
    <w:rsid w:val="00DE7F19"/>
    <w:rsid w:val="00DF0A0F"/>
    <w:rsid w:val="00DF0F74"/>
    <w:rsid w:val="00DF11DA"/>
    <w:rsid w:val="00DF325C"/>
    <w:rsid w:val="00DF4382"/>
    <w:rsid w:val="00DF4DAE"/>
    <w:rsid w:val="00DF6301"/>
    <w:rsid w:val="00DF6682"/>
    <w:rsid w:val="00DF723F"/>
    <w:rsid w:val="00E018ED"/>
    <w:rsid w:val="00E024A3"/>
    <w:rsid w:val="00E0301E"/>
    <w:rsid w:val="00E04BFD"/>
    <w:rsid w:val="00E05BB8"/>
    <w:rsid w:val="00E06CE5"/>
    <w:rsid w:val="00E078A3"/>
    <w:rsid w:val="00E11027"/>
    <w:rsid w:val="00E14119"/>
    <w:rsid w:val="00E14F2A"/>
    <w:rsid w:val="00E16B67"/>
    <w:rsid w:val="00E172FB"/>
    <w:rsid w:val="00E176F1"/>
    <w:rsid w:val="00E17D1C"/>
    <w:rsid w:val="00E22A34"/>
    <w:rsid w:val="00E27C80"/>
    <w:rsid w:val="00E330E4"/>
    <w:rsid w:val="00E3754B"/>
    <w:rsid w:val="00E37B9E"/>
    <w:rsid w:val="00E400B7"/>
    <w:rsid w:val="00E428AE"/>
    <w:rsid w:val="00E44ABB"/>
    <w:rsid w:val="00E458AF"/>
    <w:rsid w:val="00E46513"/>
    <w:rsid w:val="00E465AB"/>
    <w:rsid w:val="00E46866"/>
    <w:rsid w:val="00E5177E"/>
    <w:rsid w:val="00E53772"/>
    <w:rsid w:val="00E53918"/>
    <w:rsid w:val="00E563D9"/>
    <w:rsid w:val="00E566D9"/>
    <w:rsid w:val="00E57191"/>
    <w:rsid w:val="00E57EFB"/>
    <w:rsid w:val="00E60038"/>
    <w:rsid w:val="00E6241D"/>
    <w:rsid w:val="00E64530"/>
    <w:rsid w:val="00E64DC9"/>
    <w:rsid w:val="00E65F40"/>
    <w:rsid w:val="00E66796"/>
    <w:rsid w:val="00E6708C"/>
    <w:rsid w:val="00E71DCF"/>
    <w:rsid w:val="00E73C74"/>
    <w:rsid w:val="00E75F20"/>
    <w:rsid w:val="00E75F97"/>
    <w:rsid w:val="00E77A50"/>
    <w:rsid w:val="00E80956"/>
    <w:rsid w:val="00E83822"/>
    <w:rsid w:val="00E83F43"/>
    <w:rsid w:val="00E866B5"/>
    <w:rsid w:val="00E86BB4"/>
    <w:rsid w:val="00E87572"/>
    <w:rsid w:val="00E87F96"/>
    <w:rsid w:val="00E90123"/>
    <w:rsid w:val="00E90A96"/>
    <w:rsid w:val="00E92D5A"/>
    <w:rsid w:val="00E9441A"/>
    <w:rsid w:val="00E96E44"/>
    <w:rsid w:val="00EA08B2"/>
    <w:rsid w:val="00EA24A4"/>
    <w:rsid w:val="00EA3252"/>
    <w:rsid w:val="00EA4E5D"/>
    <w:rsid w:val="00EA5EB7"/>
    <w:rsid w:val="00EA6374"/>
    <w:rsid w:val="00EA6FDE"/>
    <w:rsid w:val="00EA7D84"/>
    <w:rsid w:val="00EA7F14"/>
    <w:rsid w:val="00EA7FFE"/>
    <w:rsid w:val="00EB19B8"/>
    <w:rsid w:val="00EB33CA"/>
    <w:rsid w:val="00EB36FE"/>
    <w:rsid w:val="00EB4537"/>
    <w:rsid w:val="00EB4A79"/>
    <w:rsid w:val="00EB6DB0"/>
    <w:rsid w:val="00EB724C"/>
    <w:rsid w:val="00EC2CAD"/>
    <w:rsid w:val="00EC4336"/>
    <w:rsid w:val="00EC58EB"/>
    <w:rsid w:val="00EC6E63"/>
    <w:rsid w:val="00ED0467"/>
    <w:rsid w:val="00ED1139"/>
    <w:rsid w:val="00ED1663"/>
    <w:rsid w:val="00ED19D5"/>
    <w:rsid w:val="00ED3506"/>
    <w:rsid w:val="00ED405F"/>
    <w:rsid w:val="00ED531C"/>
    <w:rsid w:val="00ED5D47"/>
    <w:rsid w:val="00ED6787"/>
    <w:rsid w:val="00ED7DC7"/>
    <w:rsid w:val="00EE015C"/>
    <w:rsid w:val="00EE3319"/>
    <w:rsid w:val="00EE3D18"/>
    <w:rsid w:val="00EE408C"/>
    <w:rsid w:val="00EE5245"/>
    <w:rsid w:val="00EE6149"/>
    <w:rsid w:val="00EE6E5D"/>
    <w:rsid w:val="00EE7571"/>
    <w:rsid w:val="00EE7CBA"/>
    <w:rsid w:val="00EF0492"/>
    <w:rsid w:val="00EF0A7E"/>
    <w:rsid w:val="00EF107D"/>
    <w:rsid w:val="00EF4270"/>
    <w:rsid w:val="00EF5C8C"/>
    <w:rsid w:val="00EF69D8"/>
    <w:rsid w:val="00EF6B5D"/>
    <w:rsid w:val="00EF73E7"/>
    <w:rsid w:val="00EF7891"/>
    <w:rsid w:val="00EF7B5D"/>
    <w:rsid w:val="00F00189"/>
    <w:rsid w:val="00F00E5B"/>
    <w:rsid w:val="00F02D1B"/>
    <w:rsid w:val="00F04D5B"/>
    <w:rsid w:val="00F0585E"/>
    <w:rsid w:val="00F07618"/>
    <w:rsid w:val="00F07E97"/>
    <w:rsid w:val="00F1042F"/>
    <w:rsid w:val="00F10665"/>
    <w:rsid w:val="00F12CE8"/>
    <w:rsid w:val="00F1696E"/>
    <w:rsid w:val="00F16B4B"/>
    <w:rsid w:val="00F21075"/>
    <w:rsid w:val="00F2183D"/>
    <w:rsid w:val="00F21F15"/>
    <w:rsid w:val="00F242F4"/>
    <w:rsid w:val="00F252C5"/>
    <w:rsid w:val="00F26AF6"/>
    <w:rsid w:val="00F26D98"/>
    <w:rsid w:val="00F270BB"/>
    <w:rsid w:val="00F31498"/>
    <w:rsid w:val="00F31BD9"/>
    <w:rsid w:val="00F34D1D"/>
    <w:rsid w:val="00F34F83"/>
    <w:rsid w:val="00F35346"/>
    <w:rsid w:val="00F3546B"/>
    <w:rsid w:val="00F36116"/>
    <w:rsid w:val="00F412C9"/>
    <w:rsid w:val="00F4187E"/>
    <w:rsid w:val="00F448E6"/>
    <w:rsid w:val="00F450A5"/>
    <w:rsid w:val="00F45BF1"/>
    <w:rsid w:val="00F45F5B"/>
    <w:rsid w:val="00F46733"/>
    <w:rsid w:val="00F4726A"/>
    <w:rsid w:val="00F47917"/>
    <w:rsid w:val="00F50D8F"/>
    <w:rsid w:val="00F51FD0"/>
    <w:rsid w:val="00F52284"/>
    <w:rsid w:val="00F52635"/>
    <w:rsid w:val="00F53C99"/>
    <w:rsid w:val="00F544DD"/>
    <w:rsid w:val="00F54B37"/>
    <w:rsid w:val="00F56EC6"/>
    <w:rsid w:val="00F61338"/>
    <w:rsid w:val="00F62167"/>
    <w:rsid w:val="00F64716"/>
    <w:rsid w:val="00F64F68"/>
    <w:rsid w:val="00F65461"/>
    <w:rsid w:val="00F661B0"/>
    <w:rsid w:val="00F66666"/>
    <w:rsid w:val="00F67271"/>
    <w:rsid w:val="00F7166A"/>
    <w:rsid w:val="00F71E50"/>
    <w:rsid w:val="00F7356B"/>
    <w:rsid w:val="00F73F99"/>
    <w:rsid w:val="00F741F5"/>
    <w:rsid w:val="00F74567"/>
    <w:rsid w:val="00F745A8"/>
    <w:rsid w:val="00F757F3"/>
    <w:rsid w:val="00F76561"/>
    <w:rsid w:val="00F76AD2"/>
    <w:rsid w:val="00F7713E"/>
    <w:rsid w:val="00F77C98"/>
    <w:rsid w:val="00F804F1"/>
    <w:rsid w:val="00F813A6"/>
    <w:rsid w:val="00F82C8B"/>
    <w:rsid w:val="00F835D9"/>
    <w:rsid w:val="00F84B5A"/>
    <w:rsid w:val="00F84CC4"/>
    <w:rsid w:val="00F94220"/>
    <w:rsid w:val="00F96835"/>
    <w:rsid w:val="00F973FF"/>
    <w:rsid w:val="00F978EE"/>
    <w:rsid w:val="00FA0FF2"/>
    <w:rsid w:val="00FA1542"/>
    <w:rsid w:val="00FA2252"/>
    <w:rsid w:val="00FA406B"/>
    <w:rsid w:val="00FA477F"/>
    <w:rsid w:val="00FA5C20"/>
    <w:rsid w:val="00FA73AB"/>
    <w:rsid w:val="00FB0F42"/>
    <w:rsid w:val="00FB17C0"/>
    <w:rsid w:val="00FB20B4"/>
    <w:rsid w:val="00FB2EDC"/>
    <w:rsid w:val="00FB34A9"/>
    <w:rsid w:val="00FB6E62"/>
    <w:rsid w:val="00FC4A2F"/>
    <w:rsid w:val="00FC609A"/>
    <w:rsid w:val="00FC6EE8"/>
    <w:rsid w:val="00FC7BB9"/>
    <w:rsid w:val="00FD2A1D"/>
    <w:rsid w:val="00FD5283"/>
    <w:rsid w:val="00FD557F"/>
    <w:rsid w:val="00FD6F58"/>
    <w:rsid w:val="00FD71D2"/>
    <w:rsid w:val="00FD7F0A"/>
    <w:rsid w:val="00FD7F7F"/>
    <w:rsid w:val="00FE0749"/>
    <w:rsid w:val="00FE22F1"/>
    <w:rsid w:val="00FE3313"/>
    <w:rsid w:val="00FE3651"/>
    <w:rsid w:val="00FE4430"/>
    <w:rsid w:val="00FE4B4A"/>
    <w:rsid w:val="00FE6D80"/>
    <w:rsid w:val="00FE71D9"/>
    <w:rsid w:val="00FF10E1"/>
    <w:rsid w:val="00FF11A6"/>
    <w:rsid w:val="00FF23A2"/>
    <w:rsid w:val="00FF24C6"/>
    <w:rsid w:val="00FF5EAA"/>
    <w:rsid w:val="00FF6051"/>
    <w:rsid w:val="00FF7770"/>
    <w:rsid w:val="00FF781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922"/>
    <o:shapelayout v:ext="edit">
      <o:idmap v:ext="edit" data="1"/>
      <o:rules v:ext="edit">
        <o:r id="V:Rule7" type="connector" idref="#_x0000_s1203"/>
        <o:r id="V:Rule8" type="connector" idref="#_x0000_s1205"/>
        <o:r id="V:Rule9" type="connector" idref="#_x0000_s1204"/>
        <o:r id="V:Rule10" type="connector" idref="#_x0000_s1207"/>
        <o:r id="V:Rule11" type="connector" idref="#_x0000_s1208"/>
        <o:r id="V:Rule12" type="connector" idref="#_x0000_s120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ms Rmn" w:eastAsia="Times New Roman" w:hAnsi="Tms Rm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Normal (Web)" w:uiPriority="99"/>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615A"/>
    <w:pPr>
      <w:overflowPunct w:val="0"/>
      <w:autoSpaceDE w:val="0"/>
      <w:autoSpaceDN w:val="0"/>
      <w:adjustRightInd w:val="0"/>
      <w:spacing w:after="120" w:line="280" w:lineRule="atLeast"/>
      <w:textAlignment w:val="baseline"/>
    </w:pPr>
    <w:rPr>
      <w:rFonts w:ascii="Futura Lt BT" w:hAnsi="Futura Lt BT"/>
      <w:sz w:val="21"/>
    </w:rPr>
  </w:style>
  <w:style w:type="paragraph" w:styleId="Ttulo1">
    <w:name w:val="heading 1"/>
    <w:aliases w:val="Titulo 1,título 1,Heading 1,14T,Título 1 Car,Section Heading,ARTÍCULO,título1,DOCUMENTO Nº 1,Título 1 aena,TituloCapitulos,(Nombre del curso),Chapter,2,título 11,título 12,título 13,título 14,título 15,título 16,título 17,H1,h1,II+,I,h:1,h:1app"/>
    <w:basedOn w:val="Normal"/>
    <w:next w:val="Normal"/>
    <w:qFormat/>
    <w:rsid w:val="005D04D1"/>
    <w:pPr>
      <w:keepNext/>
      <w:pageBreakBefore/>
      <w:numPr>
        <w:numId w:val="6"/>
      </w:numPr>
      <w:shd w:val="clear" w:color="auto" w:fill="FFFFFF"/>
      <w:spacing w:after="400" w:line="0" w:lineRule="atLeast"/>
      <w:ind w:left="-29" w:hanging="595"/>
      <w:outlineLvl w:val="0"/>
    </w:pPr>
    <w:rPr>
      <w:rFonts w:ascii="Futura XBlk BT" w:hAnsi="Futura XBlk BT"/>
      <w:sz w:val="36"/>
      <w:szCs w:val="22"/>
    </w:rPr>
  </w:style>
  <w:style w:type="paragraph" w:styleId="Ttulo2">
    <w:name w:val="heading 2"/>
    <w:aliases w:val="Heading 2,Título 2 Capítulo,12A,Titulo 1 (Tittle 2),Título 2 modificado,Título 2 Car Car"/>
    <w:basedOn w:val="Ttulo1"/>
    <w:next w:val="Normal"/>
    <w:link w:val="Ttulo2Car"/>
    <w:qFormat/>
    <w:rsid w:val="000466CB"/>
    <w:pPr>
      <w:pageBreakBefore w:val="0"/>
      <w:numPr>
        <w:ilvl w:val="1"/>
      </w:numPr>
      <w:spacing w:before="480" w:after="240" w:line="280" w:lineRule="atLeast"/>
      <w:outlineLvl w:val="1"/>
    </w:pPr>
    <w:rPr>
      <w:sz w:val="28"/>
      <w:szCs w:val="20"/>
    </w:rPr>
  </w:style>
  <w:style w:type="paragraph" w:styleId="Ttulo3">
    <w:name w:val="heading 3"/>
    <w:aliases w:val="Heading 3,Título 3 Sección,Título proyecto,Level 1 - 1,Headline 3,título 3,h3,3,B Head,H3,l3,CT,orderpara2,h:3,h,Title2,H31,H32,H33,H34,H35,31,32,33,34,35,311,321,331,36,312,322,332,37,313,323,333,38,314,324,334,341,351,3111,3211,3311,361,3121"/>
    <w:basedOn w:val="Ttulo2"/>
    <w:next w:val="Normal"/>
    <w:link w:val="Ttulo3Car"/>
    <w:qFormat/>
    <w:rsid w:val="000466CB"/>
    <w:pPr>
      <w:numPr>
        <w:ilvl w:val="2"/>
      </w:numPr>
      <w:spacing w:before="360" w:after="120"/>
      <w:outlineLvl w:val="2"/>
    </w:pPr>
    <w:rPr>
      <w:sz w:val="25"/>
    </w:rPr>
  </w:style>
  <w:style w:type="paragraph" w:styleId="Ttulo4">
    <w:name w:val="heading 4"/>
    <w:aliases w:val="Titulo 4,Level 2 - a,Heading 4,4,heading 4,41,42,43,44,45,411,421,431,46,412,422,432,47,413,423,433,48,414,424,434,441,451,4111,4211,4311,461,4121,4221,4321,471,4131,4231,4331,49,410,MOVE-it 4,H4,h4,a.,Título INDICE,ITT t4,PA Micro Section,rh"/>
    <w:basedOn w:val="Ttulo3"/>
    <w:next w:val="Normal"/>
    <w:link w:val="Ttulo4Car"/>
    <w:qFormat/>
    <w:rsid w:val="002F274D"/>
    <w:pPr>
      <w:numPr>
        <w:ilvl w:val="3"/>
      </w:numPr>
      <w:spacing w:before="240"/>
      <w:outlineLvl w:val="3"/>
    </w:pPr>
    <w:rPr>
      <w:rFonts w:ascii="Futura Hv BT" w:hAnsi="Futura Hv BT"/>
      <w:b/>
      <w:caps/>
      <w:sz w:val="20"/>
    </w:rPr>
  </w:style>
  <w:style w:type="paragraph" w:styleId="Ttulo5">
    <w:name w:val="heading 5"/>
    <w:aliases w:val="Level 3 - i,Título 5 Leire,dash,ds,dd,Roman list,dash Car,ds Car,dd Car,Roman list Car,Título 5 Car2 Car,Título 5 Car Car1 Car,dash Car Car1 Car,ds Car Car1 Car,dd Car Car1 Car,Roman list Car Car1 Car,dash Car2 Car,ds Car2 Car,dd Car2 Car"/>
    <w:basedOn w:val="Ttulo4"/>
    <w:next w:val="Normal"/>
    <w:link w:val="Ttulo5Car"/>
    <w:qFormat/>
    <w:rsid w:val="002F274D"/>
    <w:pPr>
      <w:numPr>
        <w:ilvl w:val="4"/>
      </w:numPr>
      <w:outlineLvl w:val="4"/>
    </w:pPr>
    <w:rPr>
      <w:sz w:val="18"/>
    </w:rPr>
  </w:style>
  <w:style w:type="paragraph" w:styleId="Ttulo6">
    <w:name w:val="heading 6"/>
    <w:aliases w:val="Legal Level 1."/>
    <w:basedOn w:val="Ttulo5"/>
    <w:next w:val="Normal"/>
    <w:qFormat/>
    <w:rsid w:val="002F274D"/>
    <w:pPr>
      <w:numPr>
        <w:ilvl w:val="5"/>
      </w:numPr>
      <w:outlineLvl w:val="5"/>
    </w:pPr>
    <w:rPr>
      <w:rFonts w:ascii="Futura Md BT" w:hAnsi="Futura Md BT"/>
      <w:b w:val="0"/>
    </w:rPr>
  </w:style>
  <w:style w:type="paragraph" w:styleId="Ttulo7">
    <w:name w:val="heading 7"/>
    <w:aliases w:val="Legal Level 1.1."/>
    <w:basedOn w:val="Ttulo6"/>
    <w:next w:val="Normal"/>
    <w:qFormat/>
    <w:rsid w:val="00EA5EB7"/>
    <w:pPr>
      <w:numPr>
        <w:ilvl w:val="6"/>
      </w:numPr>
      <w:outlineLvl w:val="6"/>
    </w:pPr>
  </w:style>
  <w:style w:type="paragraph" w:styleId="Ttulo8">
    <w:name w:val="heading 8"/>
    <w:aliases w:val="Legal Level 1.1.1.,- DI -8"/>
    <w:basedOn w:val="Ttulo7"/>
    <w:next w:val="Normal"/>
    <w:qFormat/>
    <w:rsid w:val="00EA5EB7"/>
    <w:pPr>
      <w:numPr>
        <w:ilvl w:val="7"/>
      </w:numPr>
      <w:outlineLvl w:val="7"/>
    </w:pPr>
  </w:style>
  <w:style w:type="paragraph" w:styleId="Ttulo9">
    <w:name w:val="heading 9"/>
    <w:aliases w:val="Legal Level 1.1.1.1."/>
    <w:basedOn w:val="Ttulo8"/>
    <w:next w:val="Normal"/>
    <w:qFormat/>
    <w:rsid w:val="00EA5EB7"/>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Apartado">
    <w:name w:val="Apartado"/>
    <w:basedOn w:val="Normal"/>
    <w:next w:val="Normal"/>
    <w:rsid w:val="00EA5EB7"/>
    <w:rPr>
      <w:i/>
      <w:u w:val="single"/>
    </w:rPr>
  </w:style>
  <w:style w:type="paragraph" w:styleId="Encabezado">
    <w:name w:val="header"/>
    <w:basedOn w:val="Piedepgina"/>
    <w:link w:val="EncabezadoCar"/>
    <w:rsid w:val="00EA5EB7"/>
  </w:style>
  <w:style w:type="paragraph" w:styleId="Piedepgina">
    <w:name w:val="footer"/>
    <w:link w:val="PiedepginaCar"/>
    <w:rsid w:val="00EA5EB7"/>
    <w:pPr>
      <w:keepNext/>
      <w:pageBreakBefore/>
      <w:spacing w:line="0" w:lineRule="atLeast"/>
    </w:pPr>
    <w:rPr>
      <w:rFonts w:ascii="Futura LtCn BT" w:hAnsi="Futura LtCn BT"/>
      <w:sz w:val="16"/>
    </w:rPr>
  </w:style>
  <w:style w:type="character" w:styleId="Hipervnculo">
    <w:name w:val="Hyperlink"/>
    <w:basedOn w:val="Fuentedeprrafopredeter"/>
    <w:uiPriority w:val="99"/>
    <w:rsid w:val="00EA5EB7"/>
    <w:rPr>
      <w:color w:val="0000FF"/>
      <w:u w:val="single"/>
    </w:rPr>
  </w:style>
  <w:style w:type="table" w:styleId="Tablaconcuadrcula">
    <w:name w:val="Table Grid"/>
    <w:basedOn w:val="Tablanormal"/>
    <w:rsid w:val="008F231E"/>
    <w:pPr>
      <w:overflowPunct w:val="0"/>
      <w:autoSpaceDE w:val="0"/>
      <w:autoSpaceDN w:val="0"/>
      <w:adjustRightInd w:val="0"/>
      <w:spacing w:after="240" w:line="340" w:lineRule="atLeast"/>
      <w:textAlignment w:val="baseline"/>
    </w:pPr>
    <w:rPr>
      <w:rFonts w:ascii="Futura Hv BT" w:hAnsi="Futura Hv BT"/>
    </w:rPr>
    <w:tblPr>
      <w:tblStyleRowBandSize w:val="1"/>
      <w:jc w:val="center"/>
      <w:tblInd w:w="0" w:type="dxa"/>
      <w:tblBorders>
        <w:insideH w:val="single" w:sz="4" w:space="0" w:color="auto"/>
      </w:tblBorders>
      <w:tblCellMar>
        <w:top w:w="0" w:type="dxa"/>
        <w:left w:w="108" w:type="dxa"/>
        <w:bottom w:w="0" w:type="dxa"/>
        <w:right w:w="108" w:type="dxa"/>
      </w:tblCellMar>
    </w:tblPr>
    <w:trPr>
      <w:jc w:val="center"/>
    </w:trPr>
    <w:tcPr>
      <w:shd w:val="clear" w:color="auto" w:fill="FFFFFF"/>
    </w:tcPr>
    <w:tblStylePr w:type="firstRow">
      <w:rPr>
        <w:rFonts w:ascii="Futura Hv BT" w:hAnsi="Futura Hv BT"/>
        <w:b/>
      </w:rPr>
      <w:tblPr/>
      <w:tcPr>
        <w:tcBorders>
          <w:insideH w:val="nil"/>
        </w:tcBorders>
        <w:shd w:val="clear" w:color="auto" w:fill="D9D9D9"/>
      </w:tcPr>
    </w:tblStylePr>
    <w:tblStylePr w:type="firstCol">
      <w:tblPr/>
      <w:tcPr>
        <w:shd w:val="clear" w:color="auto" w:fill="FFFFFF"/>
      </w:tcPr>
    </w:tblStylePr>
  </w:style>
  <w:style w:type="paragraph" w:customStyle="1" w:styleId="Sangra1">
    <w:name w:val="Sangría 1"/>
    <w:basedOn w:val="Normal"/>
    <w:link w:val="Sangra1Car"/>
    <w:rsid w:val="00145538"/>
    <w:pPr>
      <w:numPr>
        <w:numId w:val="1"/>
      </w:numPr>
      <w:tabs>
        <w:tab w:val="left" w:pos="340"/>
      </w:tabs>
      <w:spacing w:after="40"/>
      <w:ind w:left="340" w:hanging="170"/>
    </w:pPr>
  </w:style>
  <w:style w:type="paragraph" w:customStyle="1" w:styleId="Sangra2">
    <w:name w:val="Sangría 2"/>
    <w:basedOn w:val="Sangra1"/>
    <w:link w:val="Sangra2Car"/>
    <w:rsid w:val="00E330E4"/>
    <w:pPr>
      <w:numPr>
        <w:numId w:val="2"/>
      </w:numPr>
      <w:tabs>
        <w:tab w:val="clear" w:pos="340"/>
        <w:tab w:val="left" w:pos="510"/>
      </w:tabs>
      <w:ind w:left="510" w:hanging="170"/>
    </w:pPr>
  </w:style>
  <w:style w:type="paragraph" w:customStyle="1" w:styleId="Sangra3">
    <w:name w:val="Sangría 3"/>
    <w:basedOn w:val="Sangra2"/>
    <w:link w:val="Sangra3Car"/>
    <w:rsid w:val="00E330E4"/>
    <w:pPr>
      <w:numPr>
        <w:numId w:val="3"/>
      </w:numPr>
      <w:tabs>
        <w:tab w:val="clear" w:pos="510"/>
        <w:tab w:val="left" w:pos="737"/>
      </w:tabs>
    </w:pPr>
  </w:style>
  <w:style w:type="paragraph" w:customStyle="1" w:styleId="Sangra4">
    <w:name w:val="Sangría 4"/>
    <w:basedOn w:val="Sangra3"/>
    <w:rsid w:val="00E330E4"/>
    <w:pPr>
      <w:numPr>
        <w:numId w:val="4"/>
      </w:numPr>
      <w:tabs>
        <w:tab w:val="clear" w:pos="737"/>
        <w:tab w:val="clear" w:pos="1324"/>
        <w:tab w:val="left" w:pos="907"/>
      </w:tabs>
      <w:ind w:left="907" w:hanging="113"/>
    </w:pPr>
  </w:style>
  <w:style w:type="paragraph" w:styleId="TDC1">
    <w:name w:val="toc 1"/>
    <w:autoRedefine/>
    <w:uiPriority w:val="39"/>
    <w:rsid w:val="00082D4C"/>
    <w:pPr>
      <w:tabs>
        <w:tab w:val="right" w:pos="7938"/>
      </w:tabs>
      <w:overflowPunct w:val="0"/>
      <w:autoSpaceDE w:val="0"/>
      <w:autoSpaceDN w:val="0"/>
      <w:adjustRightInd w:val="0"/>
      <w:spacing w:before="120" w:line="340" w:lineRule="atLeast"/>
      <w:ind w:left="284" w:hanging="284"/>
      <w:textAlignment w:val="baseline"/>
    </w:pPr>
    <w:rPr>
      <w:rFonts w:ascii="Futura XBlk BT" w:hAnsi="Futura XBlk BT"/>
      <w:sz w:val="28"/>
      <w:szCs w:val="22"/>
      <w:lang w:val="es-ES_tradnl"/>
    </w:rPr>
  </w:style>
  <w:style w:type="paragraph" w:styleId="TDC2">
    <w:name w:val="toc 2"/>
    <w:basedOn w:val="TDC1"/>
    <w:autoRedefine/>
    <w:uiPriority w:val="39"/>
    <w:rsid w:val="00082D4C"/>
    <w:pPr>
      <w:spacing w:before="0"/>
      <w:ind w:left="681" w:hanging="397"/>
    </w:pPr>
    <w:rPr>
      <w:rFonts w:ascii="Futura Hv BT" w:hAnsi="Futura Hv BT"/>
      <w:sz w:val="21"/>
      <w:szCs w:val="20"/>
    </w:rPr>
  </w:style>
  <w:style w:type="paragraph" w:styleId="TDC3">
    <w:name w:val="toc 3"/>
    <w:basedOn w:val="TDC2"/>
    <w:autoRedefine/>
    <w:uiPriority w:val="39"/>
    <w:rsid w:val="00082D4C"/>
    <w:pPr>
      <w:ind w:left="851" w:hanging="567"/>
    </w:pPr>
    <w:rPr>
      <w:rFonts w:ascii="Futura Lt BT" w:hAnsi="Futura Lt BT"/>
    </w:rPr>
  </w:style>
  <w:style w:type="paragraph" w:styleId="TDC4">
    <w:name w:val="toc 4"/>
    <w:basedOn w:val="TDC3"/>
    <w:autoRedefine/>
    <w:uiPriority w:val="39"/>
    <w:rsid w:val="00082D4C"/>
    <w:pPr>
      <w:tabs>
        <w:tab w:val="left" w:pos="1559"/>
        <w:tab w:val="left" w:pos="1644"/>
        <w:tab w:val="left" w:pos="2120"/>
      </w:tabs>
      <w:ind w:left="1021" w:hanging="737"/>
    </w:pPr>
  </w:style>
  <w:style w:type="paragraph" w:styleId="TDC5">
    <w:name w:val="toc 5"/>
    <w:basedOn w:val="TDC4"/>
    <w:autoRedefine/>
    <w:uiPriority w:val="39"/>
    <w:rsid w:val="00082D4C"/>
    <w:pPr>
      <w:ind w:left="1220" w:hanging="936"/>
    </w:pPr>
  </w:style>
  <w:style w:type="paragraph" w:styleId="TDC6">
    <w:name w:val="toc 6"/>
    <w:basedOn w:val="TDC5"/>
    <w:autoRedefine/>
    <w:uiPriority w:val="39"/>
    <w:rsid w:val="00EA5EB7"/>
    <w:pPr>
      <w:ind w:left="1985" w:hanging="1134"/>
    </w:pPr>
  </w:style>
  <w:style w:type="paragraph" w:styleId="TDC7">
    <w:name w:val="toc 7"/>
    <w:basedOn w:val="TDC6"/>
    <w:autoRedefine/>
    <w:uiPriority w:val="39"/>
    <w:rsid w:val="00EA5EB7"/>
    <w:pPr>
      <w:ind w:left="1304" w:hanging="1304"/>
    </w:pPr>
  </w:style>
  <w:style w:type="paragraph" w:styleId="TDC8">
    <w:name w:val="toc 8"/>
    <w:basedOn w:val="TDC7"/>
    <w:autoRedefine/>
    <w:uiPriority w:val="39"/>
    <w:rsid w:val="00EA5EB7"/>
    <w:pPr>
      <w:ind w:left="1474" w:hanging="1474"/>
    </w:pPr>
  </w:style>
  <w:style w:type="paragraph" w:styleId="TDC9">
    <w:name w:val="toc 9"/>
    <w:basedOn w:val="TDC8"/>
    <w:autoRedefine/>
    <w:uiPriority w:val="39"/>
    <w:rsid w:val="00EA5EB7"/>
    <w:pPr>
      <w:ind w:left="1644" w:hanging="1644"/>
    </w:pPr>
  </w:style>
  <w:style w:type="character" w:styleId="Nmerodepgina">
    <w:name w:val="page number"/>
    <w:basedOn w:val="Fuentedeprrafopredeter"/>
    <w:rsid w:val="00EA5EB7"/>
  </w:style>
  <w:style w:type="paragraph" w:styleId="Textocomentario">
    <w:name w:val="annotation text"/>
    <w:basedOn w:val="Normal"/>
    <w:semiHidden/>
    <w:rsid w:val="00EA5EB7"/>
  </w:style>
  <w:style w:type="paragraph" w:customStyle="1" w:styleId="Portada">
    <w:name w:val="Portada"/>
    <w:basedOn w:val="Normal"/>
    <w:rsid w:val="00EA5EB7"/>
    <w:pPr>
      <w:jc w:val="right"/>
    </w:pPr>
    <w:rPr>
      <w:rFonts w:ascii="Futura Md BT" w:hAnsi="Futura Md BT"/>
      <w:caps/>
      <w:sz w:val="28"/>
    </w:rPr>
  </w:style>
  <w:style w:type="paragraph" w:customStyle="1" w:styleId="Celdas">
    <w:name w:val="Celdas"/>
    <w:basedOn w:val="Normal"/>
    <w:rsid w:val="005D04D1"/>
    <w:pPr>
      <w:spacing w:before="40" w:after="40" w:line="0" w:lineRule="atLeast"/>
    </w:pPr>
  </w:style>
  <w:style w:type="paragraph" w:styleId="Asuntodelcomentario">
    <w:name w:val="annotation subject"/>
    <w:basedOn w:val="Textocomentario"/>
    <w:next w:val="Textocomentario"/>
    <w:semiHidden/>
    <w:rsid w:val="00EA5EB7"/>
    <w:rPr>
      <w:b/>
      <w:bCs/>
    </w:rPr>
  </w:style>
  <w:style w:type="paragraph" w:customStyle="1" w:styleId="IG1">
    <w:name w:val="IG1"/>
    <w:basedOn w:val="Ttulo1"/>
    <w:rsid w:val="00EA5EB7"/>
    <w:pPr>
      <w:pageBreakBefore w:val="0"/>
      <w:numPr>
        <w:numId w:val="0"/>
      </w:numPr>
      <w:spacing w:before="120" w:after="360"/>
    </w:pPr>
    <w:rPr>
      <w:rFonts w:ascii="Futura Md BT" w:hAnsi="Futura Md BT"/>
      <w:sz w:val="20"/>
      <w:szCs w:val="20"/>
    </w:rPr>
  </w:style>
  <w:style w:type="paragraph" w:customStyle="1" w:styleId="IG2">
    <w:name w:val="IG2"/>
    <w:basedOn w:val="Ttulo2"/>
    <w:rsid w:val="00EA5EB7"/>
    <w:pPr>
      <w:numPr>
        <w:ilvl w:val="0"/>
        <w:numId w:val="0"/>
      </w:numPr>
      <w:spacing w:before="120" w:line="0" w:lineRule="atLeast"/>
      <w:ind w:left="170"/>
    </w:pPr>
    <w:rPr>
      <w:rFonts w:ascii="Futura Lt BT" w:hAnsi="Futura Lt BT"/>
    </w:rPr>
  </w:style>
  <w:style w:type="paragraph" w:customStyle="1" w:styleId="IG3">
    <w:name w:val="IG3"/>
    <w:basedOn w:val="Ttulo3"/>
    <w:rsid w:val="00EA5EB7"/>
    <w:pPr>
      <w:numPr>
        <w:ilvl w:val="0"/>
        <w:numId w:val="0"/>
      </w:numPr>
      <w:spacing w:before="120" w:line="0" w:lineRule="atLeast"/>
      <w:ind w:left="340"/>
    </w:pPr>
    <w:rPr>
      <w:rFonts w:ascii="Futura Lt BT" w:hAnsi="Futura Lt BT"/>
    </w:rPr>
  </w:style>
  <w:style w:type="paragraph" w:customStyle="1" w:styleId="IG4">
    <w:name w:val="IG4"/>
    <w:basedOn w:val="Ttulo4"/>
    <w:rsid w:val="00EA5EB7"/>
    <w:pPr>
      <w:numPr>
        <w:ilvl w:val="0"/>
        <w:numId w:val="0"/>
      </w:numPr>
      <w:spacing w:before="120" w:after="0" w:line="0" w:lineRule="atLeast"/>
      <w:ind w:left="510"/>
    </w:pPr>
    <w:rPr>
      <w:smallCaps/>
    </w:rPr>
  </w:style>
  <w:style w:type="paragraph" w:styleId="Textonotapie">
    <w:name w:val="footnote text"/>
    <w:basedOn w:val="Normal"/>
    <w:semiHidden/>
    <w:rsid w:val="00EA5EB7"/>
    <w:pPr>
      <w:spacing w:after="0"/>
    </w:pPr>
  </w:style>
  <w:style w:type="paragraph" w:styleId="ndice1">
    <w:name w:val="index 1"/>
    <w:basedOn w:val="Normal"/>
    <w:next w:val="Normal"/>
    <w:autoRedefine/>
    <w:semiHidden/>
    <w:rsid w:val="00EA5EB7"/>
    <w:pPr>
      <w:ind w:left="200" w:hanging="200"/>
    </w:pPr>
  </w:style>
  <w:style w:type="paragraph" w:styleId="Ttulodendice">
    <w:name w:val="index heading"/>
    <w:basedOn w:val="Normal"/>
    <w:next w:val="ndice1"/>
    <w:semiHidden/>
    <w:rsid w:val="00EA5EB7"/>
    <w:rPr>
      <w:rFonts w:ascii="Arial" w:hAnsi="Arial"/>
      <w:b/>
      <w:bCs/>
    </w:rPr>
  </w:style>
  <w:style w:type="character" w:styleId="Refdenotaalpie">
    <w:name w:val="footnote reference"/>
    <w:basedOn w:val="Fuentedeprrafopredeter"/>
    <w:semiHidden/>
    <w:rsid w:val="00EA5EB7"/>
    <w:rPr>
      <w:vertAlign w:val="superscript"/>
    </w:rPr>
  </w:style>
  <w:style w:type="paragraph" w:customStyle="1" w:styleId="Sangra8">
    <w:name w:val="Sangría 8"/>
    <w:basedOn w:val="Normal"/>
    <w:semiHidden/>
    <w:rsid w:val="00EA5EB7"/>
    <w:pPr>
      <w:tabs>
        <w:tab w:val="left" w:pos="2098"/>
      </w:tabs>
      <w:spacing w:after="360" w:line="360" w:lineRule="atLeast"/>
      <w:ind w:left="1985"/>
    </w:pPr>
  </w:style>
  <w:style w:type="paragraph" w:styleId="Textodeglobo">
    <w:name w:val="Balloon Text"/>
    <w:basedOn w:val="Normal"/>
    <w:semiHidden/>
    <w:rsid w:val="00EA5EB7"/>
    <w:rPr>
      <w:rFonts w:ascii="Tahoma" w:hAnsi="Tahoma" w:cs="Tahoma"/>
      <w:sz w:val="16"/>
      <w:szCs w:val="16"/>
    </w:rPr>
  </w:style>
  <w:style w:type="paragraph" w:customStyle="1" w:styleId="TituloPortada">
    <w:name w:val="Titulo_Portada"/>
    <w:basedOn w:val="Portada"/>
    <w:rsid w:val="00C839A3"/>
    <w:rPr>
      <w:rFonts w:ascii="Futura XBlk BT" w:hAnsi="Futura XBlk BT"/>
      <w:caps w:val="0"/>
      <w:sz w:val="52"/>
      <w:szCs w:val="28"/>
    </w:rPr>
  </w:style>
  <w:style w:type="paragraph" w:customStyle="1" w:styleId="Titulodeplano">
    <w:name w:val="Titulo de plano"/>
    <w:basedOn w:val="Titulodefigura"/>
    <w:next w:val="Normal"/>
    <w:qFormat/>
    <w:rsid w:val="002D615A"/>
    <w:pPr>
      <w:numPr>
        <w:numId w:val="9"/>
      </w:numPr>
    </w:pPr>
  </w:style>
  <w:style w:type="paragraph" w:customStyle="1" w:styleId="Titulodefigura">
    <w:name w:val="Titulo de figura"/>
    <w:basedOn w:val="Normal"/>
    <w:next w:val="Normal"/>
    <w:rsid w:val="002D615A"/>
    <w:pPr>
      <w:keepNext/>
      <w:numPr>
        <w:numId w:val="7"/>
      </w:numPr>
      <w:tabs>
        <w:tab w:val="left" w:pos="1021"/>
      </w:tabs>
      <w:suppressAutoHyphens/>
      <w:overflowPunct/>
      <w:autoSpaceDE/>
      <w:autoSpaceDN/>
      <w:adjustRightInd/>
      <w:spacing w:before="120" w:line="240" w:lineRule="auto"/>
      <w:jc w:val="center"/>
      <w:textAlignment w:val="auto"/>
    </w:pPr>
    <w:rPr>
      <w:i/>
      <w:sz w:val="18"/>
      <w:szCs w:val="22"/>
      <w:lang w:val="es-ES_tradnl"/>
    </w:rPr>
  </w:style>
  <w:style w:type="paragraph" w:customStyle="1" w:styleId="Titulodefotografa">
    <w:name w:val="Titulo de fotografía"/>
    <w:basedOn w:val="Normal"/>
    <w:next w:val="Normal"/>
    <w:rsid w:val="002D615A"/>
    <w:pPr>
      <w:numPr>
        <w:numId w:val="8"/>
      </w:numPr>
      <w:tabs>
        <w:tab w:val="center" w:pos="1247"/>
      </w:tabs>
      <w:suppressAutoHyphens/>
      <w:overflowPunct/>
      <w:autoSpaceDE/>
      <w:autoSpaceDN/>
      <w:adjustRightInd/>
      <w:spacing w:before="120" w:line="240" w:lineRule="auto"/>
      <w:jc w:val="center"/>
      <w:textAlignment w:val="auto"/>
    </w:pPr>
    <w:rPr>
      <w:i/>
      <w:sz w:val="18"/>
      <w:szCs w:val="22"/>
      <w:lang w:val="es-ES_tradnl"/>
    </w:rPr>
  </w:style>
  <w:style w:type="paragraph" w:customStyle="1" w:styleId="Titulodetabla">
    <w:name w:val="Titulo de tabla"/>
    <w:basedOn w:val="Normal"/>
    <w:next w:val="Normal"/>
    <w:rsid w:val="002D615A"/>
    <w:pPr>
      <w:keepNext/>
      <w:numPr>
        <w:numId w:val="10"/>
      </w:numPr>
      <w:tabs>
        <w:tab w:val="left" w:pos="1021"/>
      </w:tabs>
      <w:suppressAutoHyphens/>
      <w:overflowPunct/>
      <w:autoSpaceDE/>
      <w:autoSpaceDN/>
      <w:adjustRightInd/>
      <w:spacing w:before="120" w:line="240" w:lineRule="auto"/>
      <w:jc w:val="center"/>
      <w:textAlignment w:val="auto"/>
    </w:pPr>
    <w:rPr>
      <w:i/>
      <w:sz w:val="18"/>
      <w:szCs w:val="22"/>
      <w:lang w:val="es-ES_tradnl"/>
    </w:rPr>
  </w:style>
  <w:style w:type="character" w:styleId="CitaHTML">
    <w:name w:val="HTML Cite"/>
    <w:basedOn w:val="Fuentedeprrafopredeter"/>
    <w:uiPriority w:val="99"/>
    <w:unhideWhenUsed/>
    <w:rsid w:val="00EA5EB7"/>
    <w:rPr>
      <w:rFonts w:ascii="Times New Roman" w:hAnsi="Times New Roman" w:cs="Times New Roman" w:hint="default"/>
      <w:i/>
      <w:iCs/>
      <w:sz w:val="20"/>
      <w:szCs w:val="20"/>
    </w:rPr>
  </w:style>
  <w:style w:type="paragraph" w:customStyle="1" w:styleId="EstiloEncabezadoFuturaXBlkCnBT">
    <w:name w:val="Estilo Encabezado + Futura XBlkCn BT"/>
    <w:basedOn w:val="Encabezado"/>
    <w:rsid w:val="00EA5EB7"/>
    <w:pPr>
      <w:pageBreakBefore w:val="0"/>
    </w:pPr>
    <w:rPr>
      <w:rFonts w:ascii="Futura XBlkCn BT" w:hAnsi="Futura XBlkCn BT"/>
    </w:rPr>
  </w:style>
  <w:style w:type="paragraph" w:styleId="NormalWeb">
    <w:name w:val="Normal (Web)"/>
    <w:basedOn w:val="Normal"/>
    <w:uiPriority w:val="99"/>
    <w:unhideWhenUsed/>
    <w:rsid w:val="00EA5EB7"/>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paragraph" w:styleId="Prrafodelista">
    <w:name w:val="List Paragraph"/>
    <w:basedOn w:val="Normal"/>
    <w:uiPriority w:val="34"/>
    <w:qFormat/>
    <w:rsid w:val="00EA5EB7"/>
    <w:pPr>
      <w:ind w:left="720"/>
    </w:pPr>
  </w:style>
  <w:style w:type="paragraph" w:customStyle="1" w:styleId="Ultimo">
    <w:name w:val="Ultimo"/>
    <w:basedOn w:val="Normal"/>
    <w:rsid w:val="00EA5EB7"/>
    <w:pPr>
      <w:tabs>
        <w:tab w:val="left" w:pos="709"/>
        <w:tab w:val="left" w:pos="1418"/>
        <w:tab w:val="left" w:pos="2127"/>
        <w:tab w:val="left" w:pos="2835"/>
        <w:tab w:val="left" w:pos="3544"/>
        <w:tab w:val="left" w:pos="4253"/>
        <w:tab w:val="left" w:pos="4962"/>
        <w:tab w:val="left" w:pos="5670"/>
        <w:tab w:val="left" w:pos="6379"/>
        <w:tab w:val="left" w:pos="7088"/>
        <w:tab w:val="left" w:pos="7797"/>
        <w:tab w:val="left" w:pos="8505"/>
      </w:tabs>
      <w:spacing w:after="720"/>
      <w:ind w:firstLine="709"/>
      <w:jc w:val="both"/>
    </w:pPr>
    <w:rPr>
      <w:rFonts w:ascii="Times New Roman" w:hAnsi="Times New Roman"/>
      <w:sz w:val="24"/>
    </w:rPr>
  </w:style>
  <w:style w:type="character" w:customStyle="1" w:styleId="Sangra2Car">
    <w:name w:val="Sangría 2 Car"/>
    <w:basedOn w:val="Fuentedeprrafopredeter"/>
    <w:link w:val="Sangra2"/>
    <w:rsid w:val="00E330E4"/>
    <w:rPr>
      <w:rFonts w:ascii="Futura Lt BT" w:hAnsi="Futura Lt BT"/>
      <w:sz w:val="21"/>
    </w:rPr>
  </w:style>
  <w:style w:type="character" w:customStyle="1" w:styleId="Sangra1Car">
    <w:name w:val="Sangría 1 Car"/>
    <w:basedOn w:val="Fuentedeprrafopredeter"/>
    <w:link w:val="Sangra1"/>
    <w:rsid w:val="00145538"/>
    <w:rPr>
      <w:rFonts w:ascii="Futura Lt BT" w:hAnsi="Futura Lt BT"/>
      <w:sz w:val="21"/>
    </w:rPr>
  </w:style>
  <w:style w:type="paragraph" w:customStyle="1" w:styleId="Sangra6">
    <w:name w:val="Sangría 6"/>
    <w:basedOn w:val="Normal"/>
    <w:rsid w:val="007C6DC4"/>
    <w:pPr>
      <w:tabs>
        <w:tab w:val="left" w:pos="1191"/>
        <w:tab w:val="left" w:pos="1531"/>
        <w:tab w:val="num" w:pos="2345"/>
      </w:tabs>
      <w:spacing w:after="160"/>
      <w:ind w:left="1985"/>
    </w:pPr>
  </w:style>
  <w:style w:type="paragraph" w:customStyle="1" w:styleId="Normal5">
    <w:name w:val="Normal5"/>
    <w:basedOn w:val="Normal"/>
    <w:rsid w:val="007C6DC4"/>
    <w:pPr>
      <w:ind w:left="851"/>
    </w:pPr>
  </w:style>
  <w:style w:type="character" w:customStyle="1" w:styleId="Ttulo4Car">
    <w:name w:val="Título 4 Car"/>
    <w:aliases w:val="Titulo 4 Car,Level 2 - a Car,Heading 4 Car,4 Car,heading 4 Car,41 Car,42 Car,43 Car,44 Car,45 Car,411 Car,421 Car,431 Car,46 Car,412 Car,422 Car,432 Car,47 Car,413 Car,423 Car,433 Car,48 Car,414 Car,424 Car,434 Car,441 Car,451 Car,4111 Car"/>
    <w:basedOn w:val="Fuentedeprrafopredeter"/>
    <w:link w:val="Ttulo4"/>
    <w:rsid w:val="002F274D"/>
    <w:rPr>
      <w:rFonts w:ascii="Futura Hv BT" w:hAnsi="Futura Hv BT"/>
      <w:b/>
      <w:caps/>
      <w:shd w:val="clear" w:color="auto" w:fill="FFFFFF"/>
    </w:rPr>
  </w:style>
  <w:style w:type="character" w:customStyle="1" w:styleId="Sangra3Car">
    <w:name w:val="Sangría 3 Car"/>
    <w:basedOn w:val="Sangra2Car"/>
    <w:link w:val="Sangra3"/>
    <w:rsid w:val="00E330E4"/>
  </w:style>
  <w:style w:type="character" w:customStyle="1" w:styleId="Ttulo5Car">
    <w:name w:val="Título 5 Car"/>
    <w:aliases w:val="Level 3 - i Car,Título 5 Leire Car,dash Car1,ds Car1,dd Car1,Roman list Car1,dash Car Car,ds Car Car,dd Car Car,Roman list Car Car,Título 5 Car2 Car Car,Título 5 Car Car1 Car Car,dash Car Car1 Car Car,ds Car Car1 Car Car,dd Car Car1 Car Car"/>
    <w:basedOn w:val="Ttulo4Car"/>
    <w:link w:val="Ttulo5"/>
    <w:locked/>
    <w:rsid w:val="002F274D"/>
    <w:rPr>
      <w:sz w:val="18"/>
    </w:rPr>
  </w:style>
  <w:style w:type="paragraph" w:customStyle="1" w:styleId="Sangra5">
    <w:name w:val="Sangría 5"/>
    <w:basedOn w:val="Sangra4"/>
    <w:rsid w:val="00376282"/>
    <w:pPr>
      <w:numPr>
        <w:numId w:val="5"/>
      </w:numPr>
      <w:tabs>
        <w:tab w:val="left" w:pos="1191"/>
        <w:tab w:val="left" w:pos="1247"/>
      </w:tabs>
    </w:pPr>
  </w:style>
  <w:style w:type="paragraph" w:customStyle="1" w:styleId="Negrita">
    <w:name w:val="Negrita"/>
    <w:basedOn w:val="Normal"/>
    <w:rsid w:val="00753859"/>
    <w:rPr>
      <w:rFonts w:ascii="Futura Md BT" w:hAnsi="Futura Md BT"/>
    </w:rPr>
  </w:style>
  <w:style w:type="character" w:customStyle="1" w:styleId="Ttulo3Car">
    <w:name w:val="Título 3 Car"/>
    <w:aliases w:val="Heading 3 Car,Título 3 Sección Car,Título proyecto Car,Level 1 - 1 Car,Headline 3 Car,título 3 Car,h3 Car,3 Car,B Head Car,H3 Car,l3 Car,CT Car,orderpara2 Car,h:3 Car,h Car,Title2 Car,H31 Car,H32 Car,H33 Car,H34 Car,H35 Car,31 Car,32 Car"/>
    <w:basedOn w:val="Fuentedeprrafopredeter"/>
    <w:link w:val="Ttulo3"/>
    <w:rsid w:val="000466CB"/>
    <w:rPr>
      <w:rFonts w:ascii="Futura XBlk BT" w:hAnsi="Futura XBlk BT"/>
      <w:sz w:val="25"/>
      <w:shd w:val="clear" w:color="auto" w:fill="FFFFFF"/>
    </w:rPr>
  </w:style>
  <w:style w:type="paragraph" w:customStyle="1" w:styleId="Cuadro">
    <w:name w:val="Cuadro"/>
    <w:basedOn w:val="Normal"/>
    <w:rsid w:val="00EF6B5D"/>
    <w:pPr>
      <w:keepNext/>
      <w:tabs>
        <w:tab w:val="left" w:pos="709"/>
        <w:tab w:val="left" w:pos="1418"/>
        <w:tab w:val="left" w:pos="2127"/>
        <w:tab w:val="left" w:pos="2835"/>
        <w:tab w:val="left" w:pos="3544"/>
        <w:tab w:val="left" w:pos="4253"/>
        <w:tab w:val="left" w:pos="4962"/>
        <w:tab w:val="left" w:pos="5670"/>
        <w:tab w:val="left" w:pos="6379"/>
        <w:tab w:val="left" w:pos="7088"/>
        <w:tab w:val="left" w:pos="7797"/>
        <w:tab w:val="left" w:pos="8505"/>
      </w:tabs>
      <w:spacing w:after="0"/>
      <w:jc w:val="center"/>
    </w:pPr>
    <w:rPr>
      <w:rFonts w:ascii="Times New Roman" w:hAnsi="Times New Roman"/>
      <w:sz w:val="24"/>
    </w:rPr>
  </w:style>
  <w:style w:type="paragraph" w:styleId="Textoindependiente3">
    <w:name w:val="Body Text 3"/>
    <w:basedOn w:val="Normal"/>
    <w:link w:val="Textoindependiente3Car"/>
    <w:rsid w:val="00433AD6"/>
    <w:pPr>
      <w:tabs>
        <w:tab w:val="left" w:pos="1296"/>
        <w:tab w:val="left" w:pos="2016"/>
        <w:tab w:val="left" w:pos="2736"/>
        <w:tab w:val="left" w:pos="3456"/>
        <w:tab w:val="left" w:pos="4176"/>
        <w:tab w:val="left" w:pos="4896"/>
        <w:tab w:val="left" w:pos="5616"/>
        <w:tab w:val="left" w:pos="6336"/>
        <w:tab w:val="left" w:pos="7056"/>
        <w:tab w:val="left" w:pos="7776"/>
        <w:tab w:val="left" w:pos="8496"/>
        <w:tab w:val="left" w:pos="9216"/>
        <w:tab w:val="left" w:pos="9936"/>
      </w:tabs>
      <w:overflowPunct/>
      <w:autoSpaceDE/>
      <w:autoSpaceDN/>
      <w:adjustRightInd/>
      <w:spacing w:before="360"/>
      <w:jc w:val="both"/>
      <w:textAlignment w:val="auto"/>
    </w:pPr>
    <w:rPr>
      <w:rFonts w:cs="Arial"/>
      <w:sz w:val="22"/>
      <w:szCs w:val="22"/>
    </w:rPr>
  </w:style>
  <w:style w:type="character" w:customStyle="1" w:styleId="Textoindependiente3Car">
    <w:name w:val="Texto independiente 3 Car"/>
    <w:basedOn w:val="Fuentedeprrafopredeter"/>
    <w:link w:val="Textoindependiente3"/>
    <w:rsid w:val="00433AD6"/>
    <w:rPr>
      <w:rFonts w:ascii="Futura Lt BT" w:hAnsi="Futura Lt BT" w:cs="Arial"/>
      <w:sz w:val="22"/>
      <w:szCs w:val="22"/>
    </w:rPr>
  </w:style>
  <w:style w:type="paragraph" w:customStyle="1" w:styleId="EstiloSangra1Despus6ptoInterlineadoMnimo12pto">
    <w:name w:val="Estilo Sangría 1 + Después:  6 pto Interlineado:  Mínimo 12 pto"/>
    <w:basedOn w:val="Sangra1"/>
    <w:rsid w:val="000466CB"/>
    <w:pPr>
      <w:numPr>
        <w:numId w:val="0"/>
      </w:numPr>
      <w:spacing w:after="120" w:line="240" w:lineRule="atLeast"/>
      <w:ind w:hanging="170"/>
    </w:pPr>
    <w:rPr>
      <w:sz w:val="20"/>
    </w:rPr>
  </w:style>
  <w:style w:type="paragraph" w:customStyle="1" w:styleId="EstiloCeldasVersalesCentradoAntes0ptoDespus0pto">
    <w:name w:val="Estilo Celdas + Versales Centrado Antes:  0 pto Después:  0 pto"/>
    <w:basedOn w:val="Celdas"/>
    <w:rsid w:val="005D04D1"/>
    <w:pPr>
      <w:shd w:val="pct10" w:color="auto" w:fill="auto"/>
      <w:spacing w:before="0" w:after="0"/>
      <w:jc w:val="center"/>
    </w:pPr>
    <w:rPr>
      <w:smallCaps/>
    </w:rPr>
  </w:style>
  <w:style w:type="table" w:styleId="Listamedia2-nfasis1">
    <w:name w:val="Medium List 2 Accent 1"/>
    <w:basedOn w:val="Tablanormal"/>
    <w:uiPriority w:val="66"/>
    <w:rsid w:val="005D04D1"/>
    <w:rPr>
      <w:rFonts w:ascii="Cambria" w:hAnsi="Cambria"/>
      <w:color w:val="000000"/>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staclara-nfasis3">
    <w:name w:val="Light List Accent 3"/>
    <w:basedOn w:val="Tablanormal"/>
    <w:uiPriority w:val="61"/>
    <w:rsid w:val="005D04D1"/>
    <w:rPr>
      <w:rFonts w:ascii="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5D04D1"/>
    <w:rPr>
      <w:rFonts w:ascii="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absica1">
    <w:name w:val="Table Simple 1"/>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rsid w:val="005D04D1"/>
    <w:pPr>
      <w:overflowPunct w:val="0"/>
      <w:autoSpaceDE w:val="0"/>
      <w:autoSpaceDN w:val="0"/>
      <w:adjustRightInd w:val="0"/>
      <w:spacing w:after="120" w:line="280" w:lineRule="atLeast"/>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4">
    <w:name w:val="Table Classic 4"/>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rsid w:val="005D04D1"/>
    <w:pPr>
      <w:overflowPunct w:val="0"/>
      <w:autoSpaceDE w:val="0"/>
      <w:autoSpaceDN w:val="0"/>
      <w:adjustRightInd w:val="0"/>
      <w:spacing w:after="120" w:line="280" w:lineRule="atLeast"/>
      <w:textAlignment w:val="baseline"/>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rsid w:val="005D04D1"/>
    <w:pPr>
      <w:overflowPunct w:val="0"/>
      <w:autoSpaceDE w:val="0"/>
      <w:autoSpaceDN w:val="0"/>
      <w:adjustRightInd w:val="0"/>
      <w:spacing w:after="120" w:line="280" w:lineRule="atLeast"/>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5D04D1"/>
    <w:pPr>
      <w:overflowPunct w:val="0"/>
      <w:autoSpaceDE w:val="0"/>
      <w:autoSpaceDN w:val="0"/>
      <w:adjustRightInd w:val="0"/>
      <w:spacing w:after="120" w:line="280" w:lineRule="atLeast"/>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rsid w:val="005D04D1"/>
    <w:pPr>
      <w:overflowPunct w:val="0"/>
      <w:autoSpaceDE w:val="0"/>
      <w:autoSpaceDN w:val="0"/>
      <w:adjustRightInd w:val="0"/>
      <w:spacing w:after="120" w:line="280" w:lineRule="atLeast"/>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rsid w:val="005D04D1"/>
    <w:pPr>
      <w:overflowPunct w:val="0"/>
      <w:autoSpaceDE w:val="0"/>
      <w:autoSpaceDN w:val="0"/>
      <w:adjustRightInd w:val="0"/>
      <w:spacing w:after="120" w:line="280" w:lineRule="atLeast"/>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
    <w:name w:val="Table Grid 1"/>
    <w:basedOn w:val="Tablanormal"/>
    <w:rsid w:val="005D04D1"/>
    <w:pPr>
      <w:overflowPunct w:val="0"/>
      <w:autoSpaceDE w:val="0"/>
      <w:autoSpaceDN w:val="0"/>
      <w:adjustRightInd w:val="0"/>
      <w:spacing w:after="120" w:line="280" w:lineRule="atLeast"/>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lsica2">
    <w:name w:val="Table Classic 2"/>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rsid w:val="005D04D1"/>
    <w:pPr>
      <w:overflowPunct w:val="0"/>
      <w:autoSpaceDE w:val="0"/>
      <w:autoSpaceDN w:val="0"/>
      <w:adjustRightInd w:val="0"/>
      <w:spacing w:after="120" w:line="280" w:lineRule="atLeast"/>
      <w:textAlignment w:val="baseline"/>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oncuadrcula2">
    <w:name w:val="Table Grid 2"/>
    <w:basedOn w:val="Tablanormal"/>
    <w:rsid w:val="005D04D1"/>
    <w:pPr>
      <w:overflowPunct w:val="0"/>
      <w:autoSpaceDE w:val="0"/>
      <w:autoSpaceDN w:val="0"/>
      <w:adjustRightInd w:val="0"/>
      <w:spacing w:after="120" w:line="280" w:lineRule="atLeast"/>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3">
    <w:name w:val="Table Grid 3"/>
    <w:basedOn w:val="Tablanormal"/>
    <w:rsid w:val="005D04D1"/>
    <w:pPr>
      <w:overflowPunct w:val="0"/>
      <w:autoSpaceDE w:val="0"/>
      <w:autoSpaceDN w:val="0"/>
      <w:adjustRightInd w:val="0"/>
      <w:spacing w:after="120" w:line="280" w:lineRule="atLeast"/>
      <w:textAlignment w:val="baseline"/>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concuadrcula4">
    <w:name w:val="Table Grid 4"/>
    <w:basedOn w:val="Tablanormal"/>
    <w:rsid w:val="005D04D1"/>
    <w:pPr>
      <w:overflowPunct w:val="0"/>
      <w:autoSpaceDE w:val="0"/>
      <w:autoSpaceDN w:val="0"/>
      <w:adjustRightInd w:val="0"/>
      <w:spacing w:after="120" w:line="280" w:lineRule="atLeast"/>
      <w:textAlignment w:val="baseline"/>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rsid w:val="005D04D1"/>
    <w:pPr>
      <w:overflowPunct w:val="0"/>
      <w:autoSpaceDE w:val="0"/>
      <w:autoSpaceDN w:val="0"/>
      <w:adjustRightInd w:val="0"/>
      <w:spacing w:after="120" w:line="280" w:lineRule="atLeast"/>
      <w:textAlignment w:val="baseline"/>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rsid w:val="005D04D1"/>
    <w:pPr>
      <w:overflowPunct w:val="0"/>
      <w:autoSpaceDE w:val="0"/>
      <w:autoSpaceDN w:val="0"/>
      <w:adjustRightInd w:val="0"/>
      <w:spacing w:after="120" w:line="280" w:lineRule="atLeast"/>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lista4">
    <w:name w:val="Table List 4"/>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3">
    <w:name w:val="Table List 3"/>
    <w:basedOn w:val="Tablanormal"/>
    <w:rsid w:val="005D04D1"/>
    <w:pPr>
      <w:overflowPunct w:val="0"/>
      <w:autoSpaceDE w:val="0"/>
      <w:autoSpaceDN w:val="0"/>
      <w:adjustRightInd w:val="0"/>
      <w:spacing w:after="120" w:line="280" w:lineRule="atLeast"/>
      <w:textAlignment w:val="baseline"/>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2">
    <w:name w:val="Table List 2"/>
    <w:basedOn w:val="Tablanormal"/>
    <w:rsid w:val="005D04D1"/>
    <w:pPr>
      <w:overflowPunct w:val="0"/>
      <w:autoSpaceDE w:val="0"/>
      <w:autoSpaceDN w:val="0"/>
      <w:adjustRightInd w:val="0"/>
      <w:spacing w:after="120" w:line="280" w:lineRule="atLeast"/>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rsid w:val="005D04D1"/>
    <w:pPr>
      <w:overflowPunct w:val="0"/>
      <w:autoSpaceDE w:val="0"/>
      <w:autoSpaceDN w:val="0"/>
      <w:adjustRightInd w:val="0"/>
      <w:spacing w:after="120" w:line="280" w:lineRule="atLeast"/>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rsid w:val="005D04D1"/>
    <w:pPr>
      <w:overflowPunct w:val="0"/>
      <w:autoSpaceDE w:val="0"/>
      <w:autoSpaceDN w:val="0"/>
      <w:adjustRightInd w:val="0"/>
      <w:spacing w:after="120" w:line="280" w:lineRule="atLeast"/>
      <w:textAlignment w:val="baseline"/>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2">
    <w:name w:val="Table 3D effects 2"/>
    <w:basedOn w:val="Tablanormal"/>
    <w:rsid w:val="005D04D1"/>
    <w:pPr>
      <w:overflowPunct w:val="0"/>
      <w:autoSpaceDE w:val="0"/>
      <w:autoSpaceDN w:val="0"/>
      <w:adjustRightInd w:val="0"/>
      <w:spacing w:after="120" w:line="280" w:lineRule="atLeast"/>
      <w:textAlignment w:val="baseline"/>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1">
    <w:name w:val="Table 3D effects 1"/>
    <w:basedOn w:val="Tablanormal"/>
    <w:rsid w:val="005D04D1"/>
    <w:pPr>
      <w:overflowPunct w:val="0"/>
      <w:autoSpaceDE w:val="0"/>
      <w:autoSpaceDN w:val="0"/>
      <w:adjustRightInd w:val="0"/>
      <w:spacing w:after="120" w:line="280" w:lineRule="atLeast"/>
      <w:textAlignment w:val="baseline"/>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moderna">
    <w:name w:val="Table Contemporary"/>
    <w:basedOn w:val="Tablanormal"/>
    <w:rsid w:val="005D04D1"/>
    <w:pPr>
      <w:overflowPunct w:val="0"/>
      <w:autoSpaceDE w:val="0"/>
      <w:autoSpaceDN w:val="0"/>
      <w:adjustRightInd w:val="0"/>
      <w:spacing w:after="120" w:line="280" w:lineRule="atLeast"/>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elegante">
    <w:name w:val="Table Elegant"/>
    <w:basedOn w:val="Tablanormal"/>
    <w:rsid w:val="005D04D1"/>
    <w:pPr>
      <w:overflowPunct w:val="0"/>
      <w:autoSpaceDE w:val="0"/>
      <w:autoSpaceDN w:val="0"/>
      <w:adjustRightInd w:val="0"/>
      <w:spacing w:after="120" w:line="280" w:lineRule="atLeast"/>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5D04D1"/>
    <w:pPr>
      <w:overflowPunct w:val="0"/>
      <w:autoSpaceDE w:val="0"/>
      <w:autoSpaceDN w:val="0"/>
      <w:adjustRightInd w:val="0"/>
      <w:spacing w:after="120" w:line="280" w:lineRule="atLeast"/>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lista8">
    <w:name w:val="Table List 8"/>
    <w:basedOn w:val="Tablanormal"/>
    <w:rsid w:val="005D04D1"/>
    <w:pPr>
      <w:overflowPunct w:val="0"/>
      <w:autoSpaceDE w:val="0"/>
      <w:autoSpaceDN w:val="0"/>
      <w:adjustRightInd w:val="0"/>
      <w:spacing w:after="120" w:line="280" w:lineRule="atLeast"/>
      <w:textAlignment w:val="baseline"/>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lista7">
    <w:name w:val="Table List 7"/>
    <w:basedOn w:val="Tablanormal"/>
    <w:rsid w:val="005D04D1"/>
    <w:pPr>
      <w:overflowPunct w:val="0"/>
      <w:autoSpaceDE w:val="0"/>
      <w:autoSpaceDN w:val="0"/>
      <w:adjustRightInd w:val="0"/>
      <w:spacing w:after="120" w:line="280" w:lineRule="atLeast"/>
      <w:textAlignment w:val="baseline"/>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6">
    <w:name w:val="Table List 6"/>
    <w:basedOn w:val="Tablanormal"/>
    <w:rsid w:val="005D04D1"/>
    <w:pPr>
      <w:overflowPunct w:val="0"/>
      <w:autoSpaceDE w:val="0"/>
      <w:autoSpaceDN w:val="0"/>
      <w:adjustRightInd w:val="0"/>
      <w:spacing w:after="120" w:line="280" w:lineRule="atLeast"/>
      <w:textAlignment w:val="baseline"/>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5">
    <w:name w:val="Table List 5"/>
    <w:basedOn w:val="Tablanormal"/>
    <w:rsid w:val="005D04D1"/>
    <w:pPr>
      <w:overflowPunct w:val="0"/>
      <w:autoSpaceDE w:val="0"/>
      <w:autoSpaceDN w:val="0"/>
      <w:adjustRightInd w:val="0"/>
      <w:spacing w:after="120" w:line="280" w:lineRule="atLeast"/>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Sombreadoclaro1">
    <w:name w:val="Sombreado claro1"/>
    <w:basedOn w:val="Tablanormal"/>
    <w:uiPriority w:val="60"/>
    <w:rsid w:val="005D04D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ombreadomedio11">
    <w:name w:val="Sombreado medio 11"/>
    <w:basedOn w:val="Tablanormal"/>
    <w:uiPriority w:val="63"/>
    <w:rsid w:val="005D04D1"/>
    <w:rPr>
      <w:rFonts w:ascii="Futura LtCn BT" w:hAnsi="Futura LtCn BT"/>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Tablasutil1">
    <w:name w:val="Table Subtle 1"/>
    <w:basedOn w:val="Tablanormal"/>
    <w:rsid w:val="005D04D1"/>
    <w:pPr>
      <w:overflowPunct w:val="0"/>
      <w:autoSpaceDE w:val="0"/>
      <w:autoSpaceDN w:val="0"/>
      <w:adjustRightInd w:val="0"/>
      <w:spacing w:after="120" w:line="280" w:lineRule="atLeast"/>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PiedepginaCar">
    <w:name w:val="Pie de página Car"/>
    <w:basedOn w:val="Fuentedeprrafopredeter"/>
    <w:link w:val="Piedepgina"/>
    <w:rsid w:val="000174A2"/>
    <w:rPr>
      <w:rFonts w:ascii="Futura LtCn BT" w:hAnsi="Futura LtCn BT"/>
      <w:sz w:val="16"/>
    </w:rPr>
  </w:style>
  <w:style w:type="character" w:customStyle="1" w:styleId="EncabezadoCar">
    <w:name w:val="Encabezado Car"/>
    <w:basedOn w:val="PiedepginaCar"/>
    <w:link w:val="Encabezado"/>
    <w:rsid w:val="000174A2"/>
  </w:style>
  <w:style w:type="character" w:styleId="nfasisintenso">
    <w:name w:val="Intense Emphasis"/>
    <w:basedOn w:val="Fuentedeprrafopredeter"/>
    <w:uiPriority w:val="21"/>
    <w:rsid w:val="00EB33CA"/>
    <w:rPr>
      <w:b/>
      <w:bCs/>
      <w:i/>
      <w:iCs/>
      <w:color w:val="4F81BD" w:themeColor="accent1"/>
    </w:rPr>
  </w:style>
  <w:style w:type="table" w:styleId="Tablabsica3">
    <w:name w:val="Table Simple 3"/>
    <w:basedOn w:val="Tablanormal"/>
    <w:rsid w:val="00EB33CA"/>
    <w:pPr>
      <w:overflowPunct w:val="0"/>
      <w:autoSpaceDE w:val="0"/>
      <w:autoSpaceDN w:val="0"/>
      <w:adjustRightInd w:val="0"/>
      <w:spacing w:after="240" w:line="340" w:lineRule="atLeast"/>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rsid w:val="00EB33CA"/>
    <w:pPr>
      <w:overflowPunct w:val="0"/>
      <w:autoSpaceDE w:val="0"/>
      <w:autoSpaceDN w:val="0"/>
      <w:adjustRightInd w:val="0"/>
      <w:spacing w:after="240" w:line="340" w:lineRule="atLeast"/>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Ttulo2Car">
    <w:name w:val="Título 2 Car"/>
    <w:aliases w:val="Heading 2 Car,Título 2 Capítulo Car,12A Car,Titulo 1 (Tittle 2) Car,Título 2 modificado Car,Título 2 Car Car Car"/>
    <w:basedOn w:val="Fuentedeprrafopredeter"/>
    <w:link w:val="Ttulo2"/>
    <w:rsid w:val="00EB33CA"/>
    <w:rPr>
      <w:rFonts w:ascii="Futura XBlk BT" w:hAnsi="Futura XBlk BT"/>
      <w:sz w:val="28"/>
      <w:shd w:val="clear" w:color="auto" w:fill="FFFFFF"/>
    </w:rPr>
  </w:style>
  <w:style w:type="paragraph" w:styleId="ndice4">
    <w:name w:val="index 4"/>
    <w:basedOn w:val="Normal"/>
    <w:next w:val="Normal"/>
    <w:autoRedefine/>
    <w:rsid w:val="00EB33CA"/>
    <w:pPr>
      <w:spacing w:after="0" w:line="240" w:lineRule="auto"/>
      <w:ind w:left="840" w:hanging="210"/>
    </w:pPr>
  </w:style>
  <w:style w:type="paragraph" w:styleId="Mapadeldocumento">
    <w:name w:val="Document Map"/>
    <w:basedOn w:val="Normal"/>
    <w:link w:val="MapadeldocumentoCar"/>
    <w:rsid w:val="00AD6685"/>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rsid w:val="00AD668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496456890">
      <w:bodyDiv w:val="1"/>
      <w:marLeft w:val="0"/>
      <w:marRight w:val="0"/>
      <w:marTop w:val="0"/>
      <w:marBottom w:val="0"/>
      <w:divBdr>
        <w:top w:val="none" w:sz="0" w:space="0" w:color="auto"/>
        <w:left w:val="none" w:sz="0" w:space="0" w:color="auto"/>
        <w:bottom w:val="none" w:sz="0" w:space="0" w:color="auto"/>
        <w:right w:val="none" w:sz="0" w:space="0" w:color="auto"/>
      </w:divBdr>
    </w:div>
    <w:div w:id="1851413462">
      <w:bodyDiv w:val="1"/>
      <w:marLeft w:val="0"/>
      <w:marRight w:val="0"/>
      <w:marTop w:val="0"/>
      <w:marBottom w:val="0"/>
      <w:divBdr>
        <w:top w:val="none" w:sz="0" w:space="0" w:color="auto"/>
        <w:left w:val="none" w:sz="0" w:space="0" w:color="auto"/>
        <w:bottom w:val="none" w:sz="0" w:space="0" w:color="auto"/>
        <w:right w:val="none" w:sz="0" w:space="0" w:color="auto"/>
      </w:divBdr>
    </w:div>
    <w:div w:id="2115830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hyperlink" Target="http://www.uragentzia.net" TargetMode="Externa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97FF64-9B4D-4BFF-B230-39EE8CB9A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4611</Words>
  <Characters>25361</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1</vt:lpstr>
    </vt:vector>
  </TitlesOfParts>
  <Company/>
  <LinksUpToDate>false</LinksUpToDate>
  <CharactersWithSpaces>29913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CVARELA</dc:creator>
  <cp:lastModifiedBy>asarralde</cp:lastModifiedBy>
  <cp:revision>3</cp:revision>
  <cp:lastPrinted>2016-01-19T09:56:00Z</cp:lastPrinted>
  <dcterms:created xsi:type="dcterms:W3CDTF">2016-01-22T09:10:00Z</dcterms:created>
  <dcterms:modified xsi:type="dcterms:W3CDTF">2016-01-28T09:02:00Z</dcterms:modified>
</cp:coreProperties>
</file>